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E2D71" w:rsidRPr="00582A4C" w14:paraId="56E5F9D3" w14:textId="77777777" w:rsidTr="00A45F60">
        <w:tc>
          <w:tcPr>
            <w:tcW w:w="10207" w:type="dxa"/>
            <w:tcBorders>
              <w:top w:val="nil"/>
              <w:left w:val="nil"/>
              <w:bottom w:val="nil"/>
              <w:right w:val="nil"/>
            </w:tcBorders>
            <w:shd w:val="clear" w:color="auto" w:fill="auto"/>
          </w:tcPr>
          <w:p w14:paraId="2926F732" w14:textId="4E9A74FF" w:rsidR="004E2D71" w:rsidRPr="00582A4C" w:rsidRDefault="004E2D71" w:rsidP="00A45F60">
            <w:pPr>
              <w:tabs>
                <w:tab w:val="center" w:pos="4536"/>
                <w:tab w:val="right" w:pos="9072"/>
              </w:tabs>
              <w:ind w:right="742"/>
              <w:rPr>
                <w:rFonts w:ascii="Calibri" w:eastAsia="Calibri" w:hAnsi="Calibri"/>
                <w:sz w:val="22"/>
                <w:szCs w:val="22"/>
                <w:lang w:eastAsia="en-US"/>
              </w:rPr>
            </w:pPr>
          </w:p>
        </w:tc>
      </w:tr>
    </w:tbl>
    <w:p w14:paraId="09285FB1" w14:textId="16874124" w:rsidR="006E1CFB" w:rsidRPr="00582A4C" w:rsidRDefault="0065600E" w:rsidP="00AF43B4">
      <w:pPr>
        <w:rPr>
          <w:rFonts w:cs="Open Sans"/>
          <w:sz w:val="18"/>
          <w:szCs w:val="18"/>
        </w:rPr>
      </w:pPr>
      <w:r>
        <w:rPr>
          <w:noProof/>
        </w:rPr>
        <w:drawing>
          <wp:anchor distT="0" distB="0" distL="114300" distR="114300" simplePos="0" relativeHeight="251664384" behindDoc="0" locked="0" layoutInCell="1" allowOverlap="1" wp14:anchorId="2028528B" wp14:editId="0514D122">
            <wp:simplePos x="0" y="0"/>
            <wp:positionH relativeFrom="margin">
              <wp:posOffset>118740</wp:posOffset>
            </wp:positionH>
            <wp:positionV relativeFrom="paragraph">
              <wp:posOffset>-414812</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7726" cy="622423"/>
                    </a:xfrm>
                    <a:prstGeom prst="rect">
                      <a:avLst/>
                    </a:prstGeom>
                  </pic:spPr>
                </pic:pic>
              </a:graphicData>
            </a:graphic>
            <wp14:sizeRelH relativeFrom="margin">
              <wp14:pctWidth>0</wp14:pctWidth>
            </wp14:sizeRelH>
            <wp14:sizeRelV relativeFrom="margin">
              <wp14:pctHeight>0</wp14:pctHeight>
            </wp14:sizeRelV>
          </wp:anchor>
        </w:drawing>
      </w:r>
      <w:r w:rsidR="000D1F8E" w:rsidRPr="00582A4C">
        <w:rPr>
          <w:noProof/>
        </w:rPr>
        <w:drawing>
          <wp:anchor distT="0" distB="0" distL="114300" distR="114300" simplePos="0" relativeHeight="251663360" behindDoc="0" locked="0" layoutInCell="1" allowOverlap="1" wp14:anchorId="3AA81908" wp14:editId="78D27ACC">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BC611" w14:textId="52C9A91E" w:rsidR="006E1CFB" w:rsidRPr="00582A4C" w:rsidRDefault="006E1CFB" w:rsidP="00AF43B4">
      <w:pPr>
        <w:rPr>
          <w:rFonts w:cs="Open Sans"/>
          <w:sz w:val="18"/>
          <w:szCs w:val="18"/>
        </w:rPr>
      </w:pPr>
    </w:p>
    <w:p w14:paraId="1D69C42F" w14:textId="4739690C" w:rsidR="00554324" w:rsidRPr="00582A4C" w:rsidRDefault="00554324" w:rsidP="00AF43B4">
      <w:pPr>
        <w:rPr>
          <w:rFonts w:cs="Open Sans"/>
          <w:sz w:val="18"/>
          <w:szCs w:val="18"/>
        </w:rPr>
      </w:pPr>
    </w:p>
    <w:p w14:paraId="007FD132" w14:textId="44BA990C" w:rsidR="00554324" w:rsidRPr="00582A4C" w:rsidRDefault="00ED7465" w:rsidP="00AF43B4">
      <w:pPr>
        <w:rPr>
          <w:rFonts w:cs="Open Sans"/>
          <w:sz w:val="18"/>
          <w:szCs w:val="18"/>
        </w:rPr>
      </w:pPr>
      <w:r w:rsidRPr="00582A4C">
        <w:rPr>
          <w:rFonts w:ascii="Century Gothic" w:hAnsi="Century Gothic"/>
          <w:noProof/>
          <w:sz w:val="22"/>
        </w:rPr>
        <mc:AlternateContent>
          <mc:Choice Requires="wps">
            <w:drawing>
              <wp:anchor distT="0" distB="0" distL="114300" distR="114300" simplePos="0" relativeHeight="251661312" behindDoc="0" locked="0" layoutInCell="1" allowOverlap="1" wp14:anchorId="5B12D425" wp14:editId="573D395F">
                <wp:simplePos x="0" y="0"/>
                <wp:positionH relativeFrom="margin">
                  <wp:posOffset>2153</wp:posOffset>
                </wp:positionH>
                <wp:positionV relativeFrom="paragraph">
                  <wp:posOffset>709709</wp:posOffset>
                </wp:positionV>
                <wp:extent cx="1792605" cy="1175385"/>
                <wp:effectExtent l="0" t="0" r="0" b="571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D7672" w14:textId="2352471A" w:rsidR="00985535" w:rsidRPr="00554324" w:rsidRDefault="00985535"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985535" w:rsidRPr="00554324" w:rsidRDefault="00985535" w:rsidP="00554324">
                            <w:pPr>
                              <w:jc w:val="left"/>
                              <w:rPr>
                                <w:rFonts w:ascii="Arial" w:hAnsi="Arial" w:cs="Arial"/>
                              </w:rPr>
                            </w:pPr>
                            <w:r w:rsidRPr="00554324">
                              <w:rPr>
                                <w:rFonts w:ascii="Arial" w:hAnsi="Arial" w:cs="Arial"/>
                              </w:rPr>
                              <w:t>7, rue du Fer à Moulin</w:t>
                            </w:r>
                          </w:p>
                          <w:p w14:paraId="22C09538" w14:textId="77777777" w:rsidR="00985535" w:rsidRPr="00554324" w:rsidRDefault="00985535" w:rsidP="00554324">
                            <w:pPr>
                              <w:jc w:val="left"/>
                              <w:rPr>
                                <w:rFonts w:ascii="Arial" w:hAnsi="Arial" w:cs="Arial"/>
                              </w:rPr>
                            </w:pPr>
                            <w:r w:rsidRPr="00554324">
                              <w:rPr>
                                <w:rFonts w:ascii="Arial" w:hAnsi="Arial" w:cs="Arial"/>
                              </w:rPr>
                              <w:t>75221 - PARIS CEDEX 05</w:t>
                            </w:r>
                          </w:p>
                          <w:p w14:paraId="39A8B198" w14:textId="560CA75B" w:rsidR="00985535" w:rsidRPr="00554324" w:rsidRDefault="00985535" w:rsidP="00554324">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12D425"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QQDAIAAPUDAAAOAAAAZHJzL2Uyb0RvYy54bWysU02P0zAQvSPxHyzfaZrS7kfUdLV0VYS0&#10;fEgLF26O7SQWiceM3Sbl1zN2uqXADZGD5cnMvJn3Zry+G/uOHTR6A7bk+WzOmbYSlLFNyb983r26&#10;4cwHYZXowOqSH7Xnd5uXL9aDK/QCWuiURkYg1heDK3kbgiuyzMtW98LPwGlLzhqwF4FMbDKFYiD0&#10;vssW8/lVNgAqhyC19/T3YXLyTcKvay3Dx7r2OrCu5NRbSCems4pntlmLokHhWiNPbYh/6KIXxlLR&#10;M9SDCILt0fwF1RuJ4KEOMwl9BnVtpE4ciE0+/4PNUyucTlxIHO/OMvn/Bys/HD4hM6rkS86s6GlE&#10;X2lQTGkW9Bg0W0SJBucLinxyFBvGNzDSqBNd7x5BfvPMwrYVttH3iDC0WihqMY+Z2UXqhOMjSDW8&#10;B0W1xD5AAhpr7KN+pAgjdBrV8Twe6oPJWPL6dnE1X3EmyZfn16vXN6tUQxTP6Q59eKuhZ/FScqT5&#10;J3hxePQhtiOK55BYzUNn1M50XTKwqbYdsoOgXdml74T+W1hnY7CFmDYhxj+JZ6Q2kQxjNZ50q0Ad&#10;iTHCtHv0VujSAv7gbKC9K7n/vheoOeveWVLtNl8u46ImY7m6XpCBl57q0iOsJKiSB86m6zZMy713&#10;aJqWKk1zsnBPStcmaRBHMnV16pt2K0lzegdxeS/tFPXrtW5+AgAA//8DAFBLAwQUAAYACAAAACEA&#10;LwHV8dwAAAAIAQAADwAAAGRycy9kb3ducmV2LnhtbEyPQU+DQBCF7yb+h82YeDF2AZUWZGnUROO1&#10;tT9ggCkQ2VnCbgv9944nvc3Me3nzvWK72EGdafK9YwPxKgJFXLum59bA4ev9fgPKB+QGB8dk4EIe&#10;tuX1VYF542be0XkfWiUh7HM00IUw5lr7uiOLfuVGYtGObrIYZJ1a3Uw4S7gddBJFqbbYs3zocKS3&#10;jurv/ckaOH7Od0/ZXH2Ew3r3mL5iv67cxZjbm+XlGVSgJfyZ4Rdf0KEUpsqduPFqMPAgPrnGsRQQ&#10;OdkkKahKhizNQJeF/l+g/AEAAP//AwBQSwECLQAUAAYACAAAACEAtoM4kv4AAADhAQAAEwAAAAAA&#10;AAAAAAAAAAAAAAAAW0NvbnRlbnRfVHlwZXNdLnhtbFBLAQItABQABgAIAAAAIQA4/SH/1gAAAJQB&#10;AAALAAAAAAAAAAAAAAAAAC8BAABfcmVscy8ucmVsc1BLAQItABQABgAIAAAAIQByReQQDAIAAPUD&#10;AAAOAAAAAAAAAAAAAAAAAC4CAABkcnMvZTJvRG9jLnhtbFBLAQItABQABgAIAAAAIQAvAdXx3AAA&#10;AAgBAAAPAAAAAAAAAAAAAAAAAGYEAABkcnMvZG93bnJldi54bWxQSwUGAAAAAAQABADzAAAAbwUA&#10;AAAA&#10;" stroked="f">
                <v:textbox>
                  <w:txbxContent>
                    <w:p w14:paraId="52CD7672" w14:textId="2352471A" w:rsidR="00985535" w:rsidRPr="00554324" w:rsidRDefault="00985535"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985535" w:rsidRPr="00554324" w:rsidRDefault="00985535" w:rsidP="00554324">
                      <w:pPr>
                        <w:jc w:val="left"/>
                        <w:rPr>
                          <w:rFonts w:ascii="Arial" w:hAnsi="Arial" w:cs="Arial"/>
                        </w:rPr>
                      </w:pPr>
                      <w:r w:rsidRPr="00554324">
                        <w:rPr>
                          <w:rFonts w:ascii="Arial" w:hAnsi="Arial" w:cs="Arial"/>
                        </w:rPr>
                        <w:t>7, rue du Fer à Moulin</w:t>
                      </w:r>
                    </w:p>
                    <w:p w14:paraId="22C09538" w14:textId="77777777" w:rsidR="00985535" w:rsidRPr="00554324" w:rsidRDefault="00985535" w:rsidP="00554324">
                      <w:pPr>
                        <w:jc w:val="left"/>
                        <w:rPr>
                          <w:rFonts w:ascii="Arial" w:hAnsi="Arial" w:cs="Arial"/>
                        </w:rPr>
                      </w:pPr>
                      <w:r w:rsidRPr="00554324">
                        <w:rPr>
                          <w:rFonts w:ascii="Arial" w:hAnsi="Arial" w:cs="Arial"/>
                        </w:rPr>
                        <w:t>75221 - PARIS CEDEX 05</w:t>
                      </w:r>
                    </w:p>
                    <w:p w14:paraId="39A8B198" w14:textId="560CA75B" w:rsidR="00985535" w:rsidRPr="00554324" w:rsidRDefault="00985535" w:rsidP="00554324">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5E66A149" w14:textId="7F44D32B" w:rsidR="00554324" w:rsidRPr="00582A4C" w:rsidRDefault="00554324" w:rsidP="00AF43B4">
      <w:pPr>
        <w:rPr>
          <w:rFonts w:cs="Open Sans"/>
          <w:sz w:val="18"/>
          <w:szCs w:val="18"/>
        </w:rPr>
      </w:pPr>
    </w:p>
    <w:p w14:paraId="0E6613E2" w14:textId="58420CCA" w:rsidR="00554324" w:rsidRPr="00582A4C" w:rsidRDefault="00554324" w:rsidP="00AF43B4">
      <w:pPr>
        <w:rPr>
          <w:rFonts w:cs="Open Sans"/>
          <w:sz w:val="18"/>
          <w:szCs w:val="18"/>
        </w:rPr>
      </w:pPr>
    </w:p>
    <w:p w14:paraId="78F19465" w14:textId="4C9C0565" w:rsidR="00554324" w:rsidRPr="00582A4C" w:rsidRDefault="00554324" w:rsidP="00AF43B4">
      <w:pPr>
        <w:rPr>
          <w:rFonts w:cs="Open Sans"/>
          <w:sz w:val="18"/>
          <w:szCs w:val="18"/>
        </w:rPr>
      </w:pPr>
    </w:p>
    <w:p w14:paraId="60C458C9" w14:textId="111744E4" w:rsidR="00554324" w:rsidRPr="00ED7465" w:rsidRDefault="0055432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2AEBE992" w14:textId="7059A6D7" w:rsidR="006E1CFB" w:rsidRPr="00582A4C" w:rsidRDefault="00C20CD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582A4C">
        <w:rPr>
          <w:rFonts w:cs="Open Sans"/>
          <w:b/>
          <w:sz w:val="40"/>
          <w:szCs w:val="40"/>
        </w:rPr>
        <w:t>C</w:t>
      </w:r>
      <w:r w:rsidR="006E1CFB" w:rsidRPr="00582A4C">
        <w:rPr>
          <w:rFonts w:cs="Open Sans"/>
          <w:b/>
          <w:sz w:val="40"/>
          <w:szCs w:val="40"/>
        </w:rPr>
        <w:t xml:space="preserve">AHIER DES CLAUSES </w:t>
      </w:r>
      <w:r w:rsidR="00656E3C">
        <w:rPr>
          <w:rFonts w:cs="Open Sans"/>
          <w:b/>
          <w:sz w:val="40"/>
          <w:szCs w:val="40"/>
        </w:rPr>
        <w:t>TECHNIQUES</w:t>
      </w:r>
      <w:r w:rsidR="00656E3C">
        <w:rPr>
          <w:rFonts w:cs="Open Sans"/>
          <w:b/>
          <w:sz w:val="40"/>
          <w:szCs w:val="40"/>
        </w:rPr>
        <w:br/>
      </w:r>
      <w:r w:rsidR="006E1CFB" w:rsidRPr="00582A4C">
        <w:rPr>
          <w:rFonts w:cs="Open Sans"/>
          <w:b/>
          <w:sz w:val="40"/>
          <w:szCs w:val="40"/>
        </w:rPr>
        <w:t>PARTICULIERES</w:t>
      </w:r>
    </w:p>
    <w:p w14:paraId="376C5B02" w14:textId="26254143" w:rsidR="006E1CFB" w:rsidRPr="00582A4C" w:rsidRDefault="006E1CFB"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52EC34D1" w14:textId="09B6C1CE" w:rsidR="006E1CFB" w:rsidRDefault="00A707DD"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 xml:space="preserve">Consultation N° </w:t>
      </w:r>
      <w:r w:rsidR="009E247E" w:rsidRPr="00582A4C">
        <w:rPr>
          <w:rFonts w:cs="Open Sans"/>
          <w:b/>
          <w:sz w:val="32"/>
          <w:szCs w:val="32"/>
        </w:rPr>
        <w:t>2</w:t>
      </w:r>
      <w:r w:rsidR="00D64F28">
        <w:rPr>
          <w:rFonts w:cs="Open Sans"/>
          <w:b/>
          <w:sz w:val="32"/>
          <w:szCs w:val="32"/>
        </w:rPr>
        <w:t>4</w:t>
      </w:r>
      <w:r w:rsidR="009E247E">
        <w:rPr>
          <w:rFonts w:cs="Open Sans"/>
          <w:b/>
          <w:sz w:val="32"/>
          <w:szCs w:val="32"/>
        </w:rPr>
        <w:t>-0</w:t>
      </w:r>
      <w:r w:rsidR="00191CAC">
        <w:rPr>
          <w:rFonts w:cs="Open Sans"/>
          <w:b/>
          <w:sz w:val="32"/>
          <w:szCs w:val="32"/>
        </w:rPr>
        <w:t>3</w:t>
      </w:r>
      <w:r w:rsidR="00816575">
        <w:rPr>
          <w:rFonts w:cs="Open Sans"/>
          <w:b/>
          <w:sz w:val="32"/>
          <w:szCs w:val="32"/>
        </w:rPr>
        <w:t>0</w:t>
      </w:r>
      <w:r w:rsidR="00D700F5" w:rsidRPr="00582A4C">
        <w:rPr>
          <w:rFonts w:cs="Open Sans"/>
          <w:b/>
          <w:sz w:val="32"/>
          <w:szCs w:val="32"/>
        </w:rPr>
        <w:t>-IT</w:t>
      </w:r>
      <w:r w:rsidR="006E1CFB" w:rsidRPr="00582A4C">
        <w:rPr>
          <w:rFonts w:cs="Open Sans"/>
          <w:b/>
          <w:sz w:val="32"/>
          <w:szCs w:val="32"/>
        </w:rPr>
        <w:t xml:space="preserve"> </w:t>
      </w:r>
    </w:p>
    <w:p w14:paraId="30B8CAEE" w14:textId="73045905" w:rsidR="00ED7465" w:rsidRPr="00FE030E" w:rsidRDefault="00ED7465"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502B6D67" w14:textId="77D8EC87" w:rsidR="006E1CFB" w:rsidRPr="00FE030E" w:rsidRDefault="006E1CFB" w:rsidP="00AF43B4">
      <w:pPr>
        <w:rPr>
          <w:rFonts w:cs="Open Sans"/>
          <w:sz w:val="18"/>
          <w:szCs w:val="18"/>
        </w:rPr>
      </w:pPr>
    </w:p>
    <w:p w14:paraId="57F6DF31" w14:textId="5D73ADB6" w:rsidR="00554324" w:rsidRDefault="00554324" w:rsidP="00AF43B4">
      <w:pPr>
        <w:rPr>
          <w:rFonts w:cs="Open Sans"/>
          <w:sz w:val="18"/>
          <w:szCs w:val="18"/>
        </w:rPr>
      </w:pPr>
    </w:p>
    <w:p w14:paraId="39DBF80F" w14:textId="4C397BBD" w:rsidR="00191CAC" w:rsidRDefault="00191CAC" w:rsidP="00AF43B4">
      <w:pPr>
        <w:rPr>
          <w:rFonts w:cs="Open Sans"/>
          <w:sz w:val="18"/>
          <w:szCs w:val="18"/>
        </w:rPr>
      </w:pPr>
    </w:p>
    <w:p w14:paraId="544CE098" w14:textId="77777777" w:rsidR="00191CAC" w:rsidRPr="00FE030E" w:rsidRDefault="00191CAC" w:rsidP="00AF43B4">
      <w:pPr>
        <w:rPr>
          <w:rFonts w:cs="Open Sans"/>
          <w:sz w:val="18"/>
          <w:szCs w:val="18"/>
        </w:rPr>
      </w:pPr>
    </w:p>
    <w:p w14:paraId="32C65EDD" w14:textId="0C49E2C1" w:rsidR="00554324" w:rsidRPr="00FE030E" w:rsidRDefault="00554324" w:rsidP="00AF43B4">
      <w:pPr>
        <w:rPr>
          <w:rFonts w:cs="Open Sans"/>
          <w:sz w:val="18"/>
          <w:szCs w:val="18"/>
        </w:rPr>
      </w:pPr>
    </w:p>
    <w:p w14:paraId="4325D497" w14:textId="4B11824E" w:rsidR="0093208F" w:rsidRPr="00FE030E" w:rsidRDefault="0093208F" w:rsidP="00AF43B4">
      <w:pPr>
        <w:rPr>
          <w:rFonts w:cs="Open Sans"/>
          <w:sz w:val="18"/>
          <w:szCs w:val="18"/>
        </w:rPr>
      </w:pPr>
    </w:p>
    <w:p w14:paraId="6A8532D1" w14:textId="45785F23" w:rsidR="00554324" w:rsidRPr="00FE030E" w:rsidRDefault="00554324" w:rsidP="00AF43B4">
      <w:pPr>
        <w:rPr>
          <w:rFonts w:cs="Open Sans"/>
          <w:sz w:val="18"/>
          <w:szCs w:val="18"/>
        </w:rPr>
      </w:pPr>
    </w:p>
    <w:p w14:paraId="13CE0C64" w14:textId="3C23677A" w:rsidR="00554324" w:rsidRPr="00FE030E" w:rsidRDefault="00115F03" w:rsidP="00115F03">
      <w:pPr>
        <w:tabs>
          <w:tab w:val="left" w:pos="5483"/>
        </w:tabs>
        <w:rPr>
          <w:rFonts w:cs="Open Sans"/>
          <w:sz w:val="18"/>
          <w:szCs w:val="18"/>
        </w:rPr>
      </w:pPr>
      <w:r>
        <w:rPr>
          <w:rFonts w:cs="Open Sans"/>
          <w:sz w:val="18"/>
          <w:szCs w:val="18"/>
        </w:rPr>
        <w:tab/>
      </w:r>
    </w:p>
    <w:p w14:paraId="70E7E9B9" w14:textId="398E9562" w:rsidR="00554324" w:rsidRPr="00FE030E" w:rsidRDefault="00554324" w:rsidP="00AF43B4">
      <w:pPr>
        <w:rPr>
          <w:rFonts w:cs="Open Sans"/>
          <w:sz w:val="18"/>
          <w:szCs w:val="18"/>
        </w:rPr>
      </w:pPr>
    </w:p>
    <w:p w14:paraId="66712F66" w14:textId="77777777" w:rsidR="00554324" w:rsidRPr="00FE030E" w:rsidRDefault="00554324" w:rsidP="00AF43B4">
      <w:pPr>
        <w:rPr>
          <w:rFonts w:cs="Open Sans"/>
          <w:sz w:val="18"/>
          <w:szCs w:val="18"/>
        </w:rPr>
      </w:pPr>
    </w:p>
    <w:p w14:paraId="2FE7F580" w14:textId="43317744" w:rsidR="000922E0" w:rsidRPr="00FE030E" w:rsidRDefault="004342F3" w:rsidP="000922E0">
      <w:pPr>
        <w:tabs>
          <w:tab w:val="left" w:pos="1418"/>
        </w:tabs>
        <w:ind w:left="1418" w:hanging="1418"/>
        <w:rPr>
          <w:rFonts w:cs="Arial"/>
        </w:rPr>
      </w:pPr>
      <w:r w:rsidRPr="00FE030E">
        <w:rPr>
          <w:rFonts w:cs="Arial"/>
          <w:b/>
        </w:rPr>
        <w:t>Procédure</w:t>
      </w:r>
      <w:r w:rsidR="000922E0" w:rsidRPr="00FE030E">
        <w:rPr>
          <w:rFonts w:cs="Arial"/>
          <w:b/>
        </w:rPr>
        <w:t> :</w:t>
      </w:r>
      <w:r w:rsidR="00191CAC">
        <w:rPr>
          <w:rFonts w:cs="Arial"/>
          <w:b/>
        </w:rPr>
        <w:t xml:space="preserve"> </w:t>
      </w:r>
      <w:r w:rsidR="00EB50C4" w:rsidRPr="00FE030E">
        <w:rPr>
          <w:rFonts w:cs="Arial"/>
        </w:rPr>
        <w:t>a</w:t>
      </w:r>
      <w:r w:rsidRPr="00FE030E">
        <w:rPr>
          <w:rFonts w:cs="Arial"/>
        </w:rPr>
        <w:t>ppel d’offres ouvert</w:t>
      </w:r>
    </w:p>
    <w:p w14:paraId="70C1EC57" w14:textId="0E3E6B1D" w:rsidR="000922E0" w:rsidRPr="00FE030E" w:rsidRDefault="000922E0" w:rsidP="000922E0">
      <w:pPr>
        <w:rPr>
          <w:rFonts w:cs="Arial"/>
        </w:rPr>
      </w:pPr>
    </w:p>
    <w:p w14:paraId="0B9FE3AC" w14:textId="616C7F76" w:rsidR="004342F3" w:rsidRDefault="004342F3" w:rsidP="000922E0">
      <w:pPr>
        <w:rPr>
          <w:rFonts w:cs="Arial"/>
        </w:rPr>
      </w:pPr>
    </w:p>
    <w:p w14:paraId="1A62AA83" w14:textId="15CCFF60" w:rsidR="00191CAC" w:rsidRDefault="00191CAC" w:rsidP="000922E0">
      <w:pPr>
        <w:rPr>
          <w:rFonts w:cs="Arial"/>
        </w:rPr>
      </w:pPr>
    </w:p>
    <w:p w14:paraId="746DB826" w14:textId="77777777" w:rsidR="00191CAC" w:rsidRPr="00FE030E" w:rsidRDefault="00191CAC" w:rsidP="000922E0">
      <w:pPr>
        <w:rPr>
          <w:rFonts w:cs="Arial"/>
        </w:rPr>
      </w:pPr>
    </w:p>
    <w:p w14:paraId="19F89293" w14:textId="6AE10A26" w:rsidR="00F426CD" w:rsidRDefault="006E1CFB" w:rsidP="00FB31D3">
      <w:pPr>
        <w:tabs>
          <w:tab w:val="left" w:pos="709"/>
        </w:tabs>
        <w:ind w:left="709" w:hanging="709"/>
        <w:jc w:val="left"/>
        <w:rPr>
          <w:rFonts w:cs="Arial"/>
        </w:rPr>
      </w:pPr>
      <w:r w:rsidRPr="00FE030E">
        <w:rPr>
          <w:rFonts w:cs="Arial"/>
          <w:b/>
        </w:rPr>
        <w:t>Objet</w:t>
      </w:r>
      <w:r w:rsidR="00D40364" w:rsidRPr="00FE030E">
        <w:rPr>
          <w:rFonts w:cs="Arial"/>
          <w:b/>
        </w:rPr>
        <w:t> :</w:t>
      </w:r>
      <w:r w:rsidR="00191CAC">
        <w:rPr>
          <w:rFonts w:cs="Arial"/>
        </w:rPr>
        <w:t xml:space="preserve"> </w:t>
      </w:r>
      <w:r w:rsidR="00816575" w:rsidRPr="00816575">
        <w:rPr>
          <w:rFonts w:cs="Arial"/>
        </w:rPr>
        <w:t>Services éditiques externalisés, fournitures et prestations associées</w:t>
      </w:r>
      <w:r w:rsidR="00191CAC">
        <w:rPr>
          <w:rFonts w:cs="Arial"/>
        </w:rPr>
        <w:t>.</w:t>
      </w:r>
    </w:p>
    <w:p w14:paraId="564F508F" w14:textId="77777777" w:rsidR="00816575" w:rsidRDefault="00816575" w:rsidP="00FB31D3">
      <w:pPr>
        <w:tabs>
          <w:tab w:val="left" w:pos="709"/>
        </w:tabs>
        <w:ind w:left="709" w:hanging="709"/>
        <w:jc w:val="left"/>
        <w:rPr>
          <w:rFonts w:cs="Open Sans"/>
        </w:rPr>
      </w:pPr>
    </w:p>
    <w:p w14:paraId="10AB631E" w14:textId="13ED0AA3" w:rsidR="00DC3789" w:rsidRDefault="00DC3789" w:rsidP="003A29F8">
      <w:pPr>
        <w:rPr>
          <w:rFonts w:cs="Arial"/>
        </w:rPr>
      </w:pPr>
    </w:p>
    <w:p w14:paraId="07BDBAC0" w14:textId="77777777" w:rsidR="00191CAC" w:rsidRDefault="00191CAC" w:rsidP="003A29F8">
      <w:pPr>
        <w:rPr>
          <w:rFonts w:cs="Arial"/>
        </w:rPr>
      </w:pPr>
    </w:p>
    <w:p w14:paraId="263DAC92" w14:textId="77777777" w:rsidR="002C3319" w:rsidRDefault="002C3319" w:rsidP="003A29F8">
      <w:pPr>
        <w:rPr>
          <w:rFonts w:cs="Arial"/>
        </w:rPr>
      </w:pPr>
    </w:p>
    <w:p w14:paraId="78786D5B" w14:textId="77777777" w:rsidR="00F426CD" w:rsidRPr="00582A4C" w:rsidRDefault="00F426CD" w:rsidP="003A29F8">
      <w:pPr>
        <w:rPr>
          <w:rFonts w:cs="Arial"/>
        </w:rPr>
      </w:pPr>
    </w:p>
    <w:p w14:paraId="324ABDE4" w14:textId="1BA0F057" w:rsidR="006E1CFB" w:rsidRPr="00582A4C" w:rsidRDefault="002927E4" w:rsidP="003A29F8">
      <w:pPr>
        <w:rPr>
          <w:rFonts w:cs="Arial"/>
        </w:rPr>
      </w:pPr>
      <w:r w:rsidRPr="002927E4">
        <w:rPr>
          <w:rFonts w:cs="Arial"/>
        </w:rPr>
        <w:t>Ce document est associé au Cahier des Clauses Administratives Particulières</w:t>
      </w:r>
      <w:r>
        <w:rPr>
          <w:rFonts w:cs="Arial"/>
        </w:rPr>
        <w:t>.</w:t>
      </w:r>
    </w:p>
    <w:p w14:paraId="78639A7B" w14:textId="7CC8BFA9" w:rsidR="006E1CFB" w:rsidRPr="00582A4C" w:rsidRDefault="006E1CFB" w:rsidP="003A29F8">
      <w:pPr>
        <w:rPr>
          <w:rFonts w:cs="Arial"/>
        </w:rPr>
      </w:pPr>
    </w:p>
    <w:p w14:paraId="307460AF" w14:textId="77777777" w:rsidR="008F6C15" w:rsidRPr="00582A4C" w:rsidRDefault="008F6C15" w:rsidP="003A29F8">
      <w:pPr>
        <w:rPr>
          <w:rFonts w:cs="Open Sans"/>
        </w:rPr>
      </w:pPr>
    </w:p>
    <w:p w14:paraId="607B7DB9" w14:textId="55618C21" w:rsidR="00D84A93" w:rsidRPr="00582A4C" w:rsidRDefault="006E1CFB" w:rsidP="00D40364">
      <w:pPr>
        <w:pStyle w:val="Corpsdetexte"/>
        <w:pageBreakBefore/>
        <w:spacing w:after="360"/>
        <w:jc w:val="center"/>
        <w:rPr>
          <w:b/>
          <w:sz w:val="28"/>
          <w:szCs w:val="28"/>
          <w:u w:val="single"/>
        </w:rPr>
      </w:pPr>
      <w:r w:rsidRPr="00582A4C">
        <w:rPr>
          <w:b/>
          <w:sz w:val="28"/>
          <w:szCs w:val="28"/>
          <w:u w:val="single"/>
        </w:rPr>
        <w:lastRenderedPageBreak/>
        <w:t>SOMMAIRE</w:t>
      </w:r>
    </w:p>
    <w:p w14:paraId="3449F44E" w14:textId="77777777" w:rsidR="008B329C" w:rsidRDefault="008B329C" w:rsidP="002C0FB0">
      <w:pPr>
        <w:pStyle w:val="TM1"/>
        <w:rPr>
          <w:highlight w:val="yellow"/>
        </w:rPr>
      </w:pPr>
    </w:p>
    <w:p w14:paraId="0BC58603" w14:textId="3A73F3F3" w:rsidR="001A564F" w:rsidRDefault="002B0F1C">
      <w:pPr>
        <w:pStyle w:val="TM1"/>
        <w:rPr>
          <w:rFonts w:asciiTheme="minorHAnsi" w:eastAsiaTheme="minorEastAsia" w:hAnsiTheme="minorHAnsi" w:cstheme="minorBidi"/>
          <w:color w:val="auto"/>
        </w:rPr>
      </w:pPr>
      <w:r w:rsidRPr="00B41C5D">
        <w:rPr>
          <w:highlight w:val="yellow"/>
        </w:rPr>
        <w:fldChar w:fldCharType="begin"/>
      </w:r>
      <w:r w:rsidRPr="00B41C5D">
        <w:rPr>
          <w:highlight w:val="yellow"/>
        </w:rPr>
        <w:instrText xml:space="preserve"> TOC \o "1-5" </w:instrText>
      </w:r>
      <w:r w:rsidRPr="00B41C5D">
        <w:rPr>
          <w:highlight w:val="yellow"/>
        </w:rPr>
        <w:fldChar w:fldCharType="separate"/>
      </w:r>
      <w:r w:rsidR="001A564F" w:rsidRPr="007B7778">
        <w:t>1</w:t>
      </w:r>
      <w:r w:rsidR="001A564F">
        <w:rPr>
          <w:rFonts w:asciiTheme="minorHAnsi" w:eastAsiaTheme="minorEastAsia" w:hAnsiTheme="minorHAnsi" w:cstheme="minorBidi"/>
          <w:color w:val="auto"/>
        </w:rPr>
        <w:tab/>
      </w:r>
      <w:r w:rsidR="001A564F">
        <w:t>GLOSSAIRE</w:t>
      </w:r>
      <w:r w:rsidR="001A564F">
        <w:tab/>
      </w:r>
      <w:r w:rsidR="001A564F">
        <w:fldChar w:fldCharType="begin"/>
      </w:r>
      <w:r w:rsidR="001A564F">
        <w:instrText xml:space="preserve"> PAGEREF _Toc201153263 \h </w:instrText>
      </w:r>
      <w:r w:rsidR="001A564F">
        <w:fldChar w:fldCharType="separate"/>
      </w:r>
      <w:r w:rsidR="001A564F">
        <w:t>4</w:t>
      </w:r>
      <w:r w:rsidR="001A564F">
        <w:fldChar w:fldCharType="end"/>
      </w:r>
    </w:p>
    <w:p w14:paraId="33B2D16B" w14:textId="43949E5C" w:rsidR="001A564F" w:rsidRDefault="001A564F">
      <w:pPr>
        <w:pStyle w:val="TM1"/>
        <w:rPr>
          <w:rFonts w:asciiTheme="minorHAnsi" w:eastAsiaTheme="minorEastAsia" w:hAnsiTheme="minorHAnsi" w:cstheme="minorBidi"/>
          <w:color w:val="auto"/>
        </w:rPr>
      </w:pPr>
      <w:r w:rsidRPr="007B7778">
        <w:t>2</w:t>
      </w:r>
      <w:r>
        <w:rPr>
          <w:rFonts w:asciiTheme="minorHAnsi" w:eastAsiaTheme="minorEastAsia" w:hAnsiTheme="minorHAnsi" w:cstheme="minorBidi"/>
          <w:color w:val="auto"/>
        </w:rPr>
        <w:tab/>
      </w:r>
      <w:r>
        <w:t>OBJET</w:t>
      </w:r>
      <w:r>
        <w:tab/>
      </w:r>
      <w:r>
        <w:fldChar w:fldCharType="begin"/>
      </w:r>
      <w:r>
        <w:instrText xml:space="preserve"> PAGEREF _Toc201153264 \h </w:instrText>
      </w:r>
      <w:r>
        <w:fldChar w:fldCharType="separate"/>
      </w:r>
      <w:r>
        <w:t>5</w:t>
      </w:r>
      <w:r>
        <w:fldChar w:fldCharType="end"/>
      </w:r>
    </w:p>
    <w:p w14:paraId="6E18D5C7" w14:textId="5111311C" w:rsidR="001A564F" w:rsidRDefault="001A564F">
      <w:pPr>
        <w:pStyle w:val="TM1"/>
        <w:rPr>
          <w:rFonts w:asciiTheme="minorHAnsi" w:eastAsiaTheme="minorEastAsia" w:hAnsiTheme="minorHAnsi" w:cstheme="minorBidi"/>
          <w:color w:val="auto"/>
        </w:rPr>
      </w:pPr>
      <w:r w:rsidRPr="007B7778">
        <w:t>3</w:t>
      </w:r>
      <w:r>
        <w:rPr>
          <w:rFonts w:asciiTheme="minorHAnsi" w:eastAsiaTheme="minorEastAsia" w:hAnsiTheme="minorHAnsi" w:cstheme="minorBidi"/>
          <w:color w:val="auto"/>
        </w:rPr>
        <w:tab/>
      </w:r>
      <w:r>
        <w:t>CONTEXTE</w:t>
      </w:r>
      <w:r>
        <w:tab/>
      </w:r>
      <w:r>
        <w:fldChar w:fldCharType="begin"/>
      </w:r>
      <w:r>
        <w:instrText xml:space="preserve"> PAGEREF _Toc201153265 \h </w:instrText>
      </w:r>
      <w:r>
        <w:fldChar w:fldCharType="separate"/>
      </w:r>
      <w:r>
        <w:t>5</w:t>
      </w:r>
      <w:r>
        <w:fldChar w:fldCharType="end"/>
      </w:r>
    </w:p>
    <w:p w14:paraId="49CE2050" w14:textId="4B16E863" w:rsidR="001A564F" w:rsidRDefault="001A564F">
      <w:pPr>
        <w:pStyle w:val="TM2"/>
        <w:rPr>
          <w:rFonts w:asciiTheme="minorHAnsi" w:eastAsiaTheme="minorEastAsia" w:hAnsiTheme="minorHAnsi" w:cstheme="minorBidi"/>
          <w:color w:val="auto"/>
          <w:sz w:val="22"/>
          <w:szCs w:val="22"/>
        </w:rPr>
      </w:pPr>
      <w:r w:rsidRPr="007B7778">
        <w:t>3.1</w:t>
      </w:r>
      <w:r>
        <w:rPr>
          <w:rFonts w:asciiTheme="minorHAnsi" w:eastAsiaTheme="minorEastAsia" w:hAnsiTheme="minorHAnsi" w:cstheme="minorBidi"/>
          <w:color w:val="auto"/>
          <w:sz w:val="22"/>
          <w:szCs w:val="22"/>
        </w:rPr>
        <w:tab/>
      </w:r>
      <w:r>
        <w:t>L'Assistance Publique - Hôpitaux de Paris</w:t>
      </w:r>
      <w:r>
        <w:tab/>
      </w:r>
      <w:r>
        <w:fldChar w:fldCharType="begin"/>
      </w:r>
      <w:r>
        <w:instrText xml:space="preserve"> PAGEREF _Toc201153266 \h </w:instrText>
      </w:r>
      <w:r>
        <w:fldChar w:fldCharType="separate"/>
      </w:r>
      <w:r>
        <w:t>5</w:t>
      </w:r>
      <w:r>
        <w:fldChar w:fldCharType="end"/>
      </w:r>
    </w:p>
    <w:p w14:paraId="03BA81FF" w14:textId="0FE0DC5A" w:rsidR="001A564F" w:rsidRDefault="001A564F">
      <w:pPr>
        <w:pStyle w:val="TM2"/>
        <w:rPr>
          <w:rFonts w:asciiTheme="minorHAnsi" w:eastAsiaTheme="minorEastAsia" w:hAnsiTheme="minorHAnsi" w:cstheme="minorBidi"/>
          <w:color w:val="auto"/>
          <w:sz w:val="22"/>
          <w:szCs w:val="22"/>
        </w:rPr>
      </w:pPr>
      <w:r w:rsidRPr="007B7778">
        <w:t>3.2</w:t>
      </w:r>
      <w:r>
        <w:rPr>
          <w:rFonts w:asciiTheme="minorHAnsi" w:eastAsiaTheme="minorEastAsia" w:hAnsiTheme="minorHAnsi" w:cstheme="minorBidi"/>
          <w:color w:val="auto"/>
          <w:sz w:val="22"/>
          <w:szCs w:val="22"/>
        </w:rPr>
        <w:tab/>
      </w:r>
      <w:r>
        <w:t>Sécurité des systèmes d’information</w:t>
      </w:r>
      <w:r>
        <w:tab/>
      </w:r>
      <w:r>
        <w:fldChar w:fldCharType="begin"/>
      </w:r>
      <w:r>
        <w:instrText xml:space="preserve"> PAGEREF _Toc201153267 \h </w:instrText>
      </w:r>
      <w:r>
        <w:fldChar w:fldCharType="separate"/>
      </w:r>
      <w:r>
        <w:t>6</w:t>
      </w:r>
      <w:r>
        <w:fldChar w:fldCharType="end"/>
      </w:r>
    </w:p>
    <w:p w14:paraId="2519BA74" w14:textId="7EDD1E0D" w:rsidR="001A564F" w:rsidRDefault="001A564F">
      <w:pPr>
        <w:pStyle w:val="TM2"/>
        <w:rPr>
          <w:rFonts w:asciiTheme="minorHAnsi" w:eastAsiaTheme="minorEastAsia" w:hAnsiTheme="minorHAnsi" w:cstheme="minorBidi"/>
          <w:color w:val="auto"/>
          <w:sz w:val="22"/>
          <w:szCs w:val="22"/>
        </w:rPr>
      </w:pPr>
      <w:r w:rsidRPr="007B7778">
        <w:t>3.3</w:t>
      </w:r>
      <w:r>
        <w:rPr>
          <w:rFonts w:asciiTheme="minorHAnsi" w:eastAsiaTheme="minorEastAsia" w:hAnsiTheme="minorHAnsi" w:cstheme="minorBidi"/>
          <w:color w:val="auto"/>
          <w:sz w:val="22"/>
          <w:szCs w:val="22"/>
        </w:rPr>
        <w:tab/>
      </w:r>
      <w:r>
        <w:t>L’informatique de l’AP-HP</w:t>
      </w:r>
      <w:r>
        <w:tab/>
      </w:r>
      <w:r>
        <w:fldChar w:fldCharType="begin"/>
      </w:r>
      <w:r>
        <w:instrText xml:space="preserve"> PAGEREF _Toc201153268 \h </w:instrText>
      </w:r>
      <w:r>
        <w:fldChar w:fldCharType="separate"/>
      </w:r>
      <w:r>
        <w:t>7</w:t>
      </w:r>
      <w:r>
        <w:fldChar w:fldCharType="end"/>
      </w:r>
    </w:p>
    <w:p w14:paraId="6712AB10" w14:textId="308E45CC" w:rsidR="001A564F" w:rsidRDefault="001A564F">
      <w:pPr>
        <w:pStyle w:val="TM2"/>
        <w:rPr>
          <w:rFonts w:asciiTheme="minorHAnsi" w:eastAsiaTheme="minorEastAsia" w:hAnsiTheme="minorHAnsi" w:cstheme="minorBidi"/>
          <w:color w:val="auto"/>
          <w:sz w:val="22"/>
          <w:szCs w:val="22"/>
        </w:rPr>
      </w:pPr>
      <w:r w:rsidRPr="007B7778">
        <w:t>3.4</w:t>
      </w:r>
      <w:r>
        <w:rPr>
          <w:rFonts w:asciiTheme="minorHAnsi" w:eastAsiaTheme="minorEastAsia" w:hAnsiTheme="minorHAnsi" w:cstheme="minorBidi"/>
          <w:color w:val="auto"/>
          <w:sz w:val="22"/>
          <w:szCs w:val="22"/>
        </w:rPr>
        <w:tab/>
      </w:r>
      <w:r>
        <w:t>L’éditique externalisée actuelle</w:t>
      </w:r>
      <w:r>
        <w:tab/>
      </w:r>
      <w:r>
        <w:fldChar w:fldCharType="begin"/>
      </w:r>
      <w:r>
        <w:instrText xml:space="preserve"> PAGEREF _Toc201153269 \h </w:instrText>
      </w:r>
      <w:r>
        <w:fldChar w:fldCharType="separate"/>
      </w:r>
      <w:r>
        <w:t>7</w:t>
      </w:r>
      <w:r>
        <w:fldChar w:fldCharType="end"/>
      </w:r>
    </w:p>
    <w:p w14:paraId="5239641F" w14:textId="4016F778" w:rsidR="001A564F" w:rsidRDefault="001A564F">
      <w:pPr>
        <w:pStyle w:val="TM1"/>
        <w:rPr>
          <w:rFonts w:asciiTheme="minorHAnsi" w:eastAsiaTheme="minorEastAsia" w:hAnsiTheme="minorHAnsi" w:cstheme="minorBidi"/>
          <w:color w:val="auto"/>
        </w:rPr>
      </w:pPr>
      <w:r w:rsidRPr="007B7778">
        <w:t>4</w:t>
      </w:r>
      <w:r>
        <w:rPr>
          <w:rFonts w:asciiTheme="minorHAnsi" w:eastAsiaTheme="minorEastAsia" w:hAnsiTheme="minorHAnsi" w:cstheme="minorBidi"/>
          <w:color w:val="auto"/>
        </w:rPr>
        <w:tab/>
      </w:r>
      <w:r>
        <w:t>DEFINITION DU BESOIN</w:t>
      </w:r>
      <w:r>
        <w:tab/>
      </w:r>
      <w:r>
        <w:fldChar w:fldCharType="begin"/>
      </w:r>
      <w:r>
        <w:instrText xml:space="preserve"> PAGEREF _Toc201153270 \h </w:instrText>
      </w:r>
      <w:r>
        <w:fldChar w:fldCharType="separate"/>
      </w:r>
      <w:r>
        <w:t>8</w:t>
      </w:r>
      <w:r>
        <w:fldChar w:fldCharType="end"/>
      </w:r>
    </w:p>
    <w:p w14:paraId="7EC2D4E5" w14:textId="511DAE09" w:rsidR="001A564F" w:rsidRDefault="001A564F">
      <w:pPr>
        <w:pStyle w:val="TM2"/>
        <w:rPr>
          <w:rFonts w:asciiTheme="minorHAnsi" w:eastAsiaTheme="minorEastAsia" w:hAnsiTheme="minorHAnsi" w:cstheme="minorBidi"/>
          <w:color w:val="auto"/>
          <w:sz w:val="22"/>
          <w:szCs w:val="22"/>
        </w:rPr>
      </w:pPr>
      <w:r w:rsidRPr="007B7778">
        <w:t>4.1</w:t>
      </w:r>
      <w:r>
        <w:rPr>
          <w:rFonts w:asciiTheme="minorHAnsi" w:eastAsiaTheme="minorEastAsia" w:hAnsiTheme="minorHAnsi" w:cstheme="minorBidi"/>
          <w:color w:val="auto"/>
          <w:sz w:val="22"/>
          <w:szCs w:val="22"/>
        </w:rPr>
        <w:tab/>
      </w:r>
      <w:r>
        <w:t>Description générale des services attendus</w:t>
      </w:r>
      <w:r>
        <w:tab/>
      </w:r>
      <w:r>
        <w:fldChar w:fldCharType="begin"/>
      </w:r>
      <w:r>
        <w:instrText xml:space="preserve"> PAGEREF _Toc201153271 \h </w:instrText>
      </w:r>
      <w:r>
        <w:fldChar w:fldCharType="separate"/>
      </w:r>
      <w:r>
        <w:t>8</w:t>
      </w:r>
      <w:r>
        <w:fldChar w:fldCharType="end"/>
      </w:r>
    </w:p>
    <w:p w14:paraId="136E5B04" w14:textId="747C15E6" w:rsidR="001A564F" w:rsidRDefault="001A564F">
      <w:pPr>
        <w:pStyle w:val="TM2"/>
        <w:rPr>
          <w:rFonts w:asciiTheme="minorHAnsi" w:eastAsiaTheme="minorEastAsia" w:hAnsiTheme="minorHAnsi" w:cstheme="minorBidi"/>
          <w:color w:val="auto"/>
          <w:sz w:val="22"/>
          <w:szCs w:val="22"/>
        </w:rPr>
      </w:pPr>
      <w:r w:rsidRPr="007B7778">
        <w:t>4.2</w:t>
      </w:r>
      <w:r>
        <w:rPr>
          <w:rFonts w:asciiTheme="minorHAnsi" w:eastAsiaTheme="minorEastAsia" w:hAnsiTheme="minorHAnsi" w:cstheme="minorBidi"/>
          <w:color w:val="auto"/>
          <w:sz w:val="22"/>
          <w:szCs w:val="22"/>
        </w:rPr>
        <w:tab/>
      </w:r>
      <w:r>
        <w:t>Filières et volumétrie</w:t>
      </w:r>
      <w:r>
        <w:tab/>
      </w:r>
      <w:r>
        <w:fldChar w:fldCharType="begin"/>
      </w:r>
      <w:r>
        <w:instrText xml:space="preserve"> PAGEREF _Toc201153272 \h </w:instrText>
      </w:r>
      <w:r>
        <w:fldChar w:fldCharType="separate"/>
      </w:r>
      <w:r>
        <w:t>9</w:t>
      </w:r>
      <w:r>
        <w:fldChar w:fldCharType="end"/>
      </w:r>
    </w:p>
    <w:p w14:paraId="0BA66BD1" w14:textId="0B14BA0E" w:rsidR="001A564F" w:rsidRDefault="001A564F">
      <w:pPr>
        <w:pStyle w:val="TM2"/>
        <w:rPr>
          <w:rFonts w:asciiTheme="minorHAnsi" w:eastAsiaTheme="minorEastAsia" w:hAnsiTheme="minorHAnsi" w:cstheme="minorBidi"/>
          <w:color w:val="auto"/>
          <w:sz w:val="22"/>
          <w:szCs w:val="22"/>
        </w:rPr>
      </w:pPr>
      <w:r w:rsidRPr="007B7778">
        <w:t>4.3</w:t>
      </w:r>
      <w:r>
        <w:rPr>
          <w:rFonts w:asciiTheme="minorHAnsi" w:eastAsiaTheme="minorEastAsia" w:hAnsiTheme="minorHAnsi" w:cstheme="minorBidi"/>
          <w:color w:val="auto"/>
          <w:sz w:val="22"/>
          <w:szCs w:val="22"/>
        </w:rPr>
        <w:tab/>
      </w:r>
      <w:r>
        <w:t>Phase d’initialisation</w:t>
      </w:r>
      <w:r>
        <w:tab/>
      </w:r>
      <w:r>
        <w:fldChar w:fldCharType="begin"/>
      </w:r>
      <w:r>
        <w:instrText xml:space="preserve"> PAGEREF _Toc201153273 \h </w:instrText>
      </w:r>
      <w:r>
        <w:fldChar w:fldCharType="separate"/>
      </w:r>
      <w:r>
        <w:t>10</w:t>
      </w:r>
      <w:r>
        <w:fldChar w:fldCharType="end"/>
      </w:r>
    </w:p>
    <w:p w14:paraId="0A82EFB8" w14:textId="2D178DEA" w:rsidR="001A564F" w:rsidRDefault="001A564F">
      <w:pPr>
        <w:pStyle w:val="TM3"/>
        <w:rPr>
          <w:rFonts w:asciiTheme="minorHAnsi" w:eastAsiaTheme="minorEastAsia" w:hAnsiTheme="minorHAnsi" w:cstheme="minorBidi"/>
          <w:sz w:val="22"/>
          <w:szCs w:val="22"/>
        </w:rPr>
      </w:pPr>
      <w:r w:rsidRPr="007B7778">
        <w:t>4.3.1</w:t>
      </w:r>
      <w:r>
        <w:rPr>
          <w:rFonts w:asciiTheme="minorHAnsi" w:eastAsiaTheme="minorEastAsia" w:hAnsiTheme="minorHAnsi" w:cstheme="minorBidi"/>
          <w:sz w:val="22"/>
          <w:szCs w:val="22"/>
        </w:rPr>
        <w:tab/>
      </w:r>
      <w:r>
        <w:t>Étape 1 : mise en œuvre de la production éditique</w:t>
      </w:r>
      <w:r>
        <w:tab/>
      </w:r>
      <w:r>
        <w:fldChar w:fldCharType="begin"/>
      </w:r>
      <w:r>
        <w:instrText xml:space="preserve"> PAGEREF _Toc201153274 \h </w:instrText>
      </w:r>
      <w:r>
        <w:fldChar w:fldCharType="separate"/>
      </w:r>
      <w:r>
        <w:t>11</w:t>
      </w:r>
      <w:r>
        <w:fldChar w:fldCharType="end"/>
      </w:r>
    </w:p>
    <w:p w14:paraId="5C33218F" w14:textId="2DA7DE18" w:rsidR="001A564F" w:rsidRDefault="001A564F">
      <w:pPr>
        <w:pStyle w:val="TM3"/>
        <w:rPr>
          <w:rFonts w:asciiTheme="minorHAnsi" w:eastAsiaTheme="minorEastAsia" w:hAnsiTheme="minorHAnsi" w:cstheme="minorBidi"/>
          <w:sz w:val="22"/>
          <w:szCs w:val="22"/>
        </w:rPr>
      </w:pPr>
      <w:r w:rsidRPr="007B7778">
        <w:t>4.3.2</w:t>
      </w:r>
      <w:r>
        <w:rPr>
          <w:rFonts w:asciiTheme="minorHAnsi" w:eastAsiaTheme="minorEastAsia" w:hAnsiTheme="minorHAnsi" w:cstheme="minorBidi"/>
          <w:sz w:val="22"/>
          <w:szCs w:val="22"/>
        </w:rPr>
        <w:tab/>
      </w:r>
      <w:r>
        <w:t>Étape 2 : prise en charge des documents à produire</w:t>
      </w:r>
      <w:r>
        <w:tab/>
      </w:r>
      <w:r>
        <w:fldChar w:fldCharType="begin"/>
      </w:r>
      <w:r>
        <w:instrText xml:space="preserve"> PAGEREF _Toc201153275 \h </w:instrText>
      </w:r>
      <w:r>
        <w:fldChar w:fldCharType="separate"/>
      </w:r>
      <w:r>
        <w:t>11</w:t>
      </w:r>
      <w:r>
        <w:fldChar w:fldCharType="end"/>
      </w:r>
    </w:p>
    <w:p w14:paraId="309B623C" w14:textId="27EE442F" w:rsidR="001A564F" w:rsidRDefault="001A564F">
      <w:pPr>
        <w:pStyle w:val="TM3"/>
        <w:rPr>
          <w:rFonts w:asciiTheme="minorHAnsi" w:eastAsiaTheme="minorEastAsia" w:hAnsiTheme="minorHAnsi" w:cstheme="minorBidi"/>
          <w:sz w:val="22"/>
          <w:szCs w:val="22"/>
        </w:rPr>
      </w:pPr>
      <w:r w:rsidRPr="007B7778">
        <w:t>4.3.3</w:t>
      </w:r>
      <w:r>
        <w:rPr>
          <w:rFonts w:asciiTheme="minorHAnsi" w:eastAsiaTheme="minorEastAsia" w:hAnsiTheme="minorHAnsi" w:cstheme="minorBidi"/>
          <w:sz w:val="22"/>
          <w:szCs w:val="22"/>
        </w:rPr>
        <w:tab/>
      </w:r>
      <w:r>
        <w:t>Reprise de stock</w:t>
      </w:r>
      <w:r>
        <w:tab/>
      </w:r>
      <w:r>
        <w:fldChar w:fldCharType="begin"/>
      </w:r>
      <w:r>
        <w:instrText xml:space="preserve"> PAGEREF _Toc201153276 \h </w:instrText>
      </w:r>
      <w:r>
        <w:fldChar w:fldCharType="separate"/>
      </w:r>
      <w:r>
        <w:t>12</w:t>
      </w:r>
      <w:r>
        <w:fldChar w:fldCharType="end"/>
      </w:r>
    </w:p>
    <w:p w14:paraId="5414783B" w14:textId="4B81ADEE" w:rsidR="001A564F" w:rsidRDefault="001A564F">
      <w:pPr>
        <w:pStyle w:val="TM3"/>
        <w:rPr>
          <w:rFonts w:asciiTheme="minorHAnsi" w:eastAsiaTheme="minorEastAsia" w:hAnsiTheme="minorHAnsi" w:cstheme="minorBidi"/>
          <w:sz w:val="22"/>
          <w:szCs w:val="22"/>
        </w:rPr>
      </w:pPr>
      <w:r w:rsidRPr="007B7778">
        <w:t>4.3.4</w:t>
      </w:r>
      <w:r>
        <w:rPr>
          <w:rFonts w:asciiTheme="minorHAnsi" w:eastAsiaTheme="minorEastAsia" w:hAnsiTheme="minorHAnsi" w:cstheme="minorBidi"/>
          <w:sz w:val="22"/>
          <w:szCs w:val="22"/>
        </w:rPr>
        <w:tab/>
      </w:r>
      <w:r>
        <w:t>Traitements informatiques spécifiques à réaliser</w:t>
      </w:r>
      <w:r>
        <w:tab/>
      </w:r>
      <w:r>
        <w:fldChar w:fldCharType="begin"/>
      </w:r>
      <w:r>
        <w:instrText xml:space="preserve"> PAGEREF _Toc201153277 \h </w:instrText>
      </w:r>
      <w:r>
        <w:fldChar w:fldCharType="separate"/>
      </w:r>
      <w:r>
        <w:t>12</w:t>
      </w:r>
      <w:r>
        <w:fldChar w:fldCharType="end"/>
      </w:r>
    </w:p>
    <w:p w14:paraId="30554082" w14:textId="6F5C95E0" w:rsidR="001A564F" w:rsidRDefault="001A564F">
      <w:pPr>
        <w:pStyle w:val="TM4"/>
        <w:rPr>
          <w:rFonts w:asciiTheme="minorHAnsi" w:eastAsiaTheme="minorEastAsia" w:hAnsiTheme="minorHAnsi" w:cstheme="minorBidi"/>
          <w:color w:val="auto"/>
          <w:sz w:val="22"/>
          <w:szCs w:val="22"/>
        </w:rPr>
      </w:pPr>
      <w:r w:rsidRPr="007B7778">
        <w:t>4.3.4.1</w:t>
      </w:r>
      <w:r>
        <w:rPr>
          <w:rFonts w:asciiTheme="minorHAnsi" w:eastAsiaTheme="minorEastAsia" w:hAnsiTheme="minorHAnsi" w:cstheme="minorBidi"/>
          <w:color w:val="auto"/>
          <w:sz w:val="22"/>
          <w:szCs w:val="22"/>
        </w:rPr>
        <w:tab/>
      </w:r>
      <w:r>
        <w:t>Redimensionnement des documents</w:t>
      </w:r>
      <w:r>
        <w:tab/>
      </w:r>
      <w:r>
        <w:fldChar w:fldCharType="begin"/>
      </w:r>
      <w:r>
        <w:instrText xml:space="preserve"> PAGEREF _Toc201153278 \h </w:instrText>
      </w:r>
      <w:r>
        <w:fldChar w:fldCharType="separate"/>
      </w:r>
      <w:r>
        <w:t>13</w:t>
      </w:r>
      <w:r>
        <w:fldChar w:fldCharType="end"/>
      </w:r>
    </w:p>
    <w:p w14:paraId="5198833B" w14:textId="570272A1" w:rsidR="001A564F" w:rsidRDefault="001A564F">
      <w:pPr>
        <w:pStyle w:val="TM4"/>
        <w:rPr>
          <w:rFonts w:asciiTheme="minorHAnsi" w:eastAsiaTheme="minorEastAsia" w:hAnsiTheme="minorHAnsi" w:cstheme="minorBidi"/>
          <w:color w:val="auto"/>
          <w:sz w:val="22"/>
          <w:szCs w:val="22"/>
        </w:rPr>
      </w:pPr>
      <w:r w:rsidRPr="007B7778">
        <w:t>4.3.4.2</w:t>
      </w:r>
      <w:r>
        <w:rPr>
          <w:rFonts w:asciiTheme="minorHAnsi" w:eastAsiaTheme="minorEastAsia" w:hAnsiTheme="minorHAnsi" w:cstheme="minorBidi"/>
          <w:color w:val="auto"/>
          <w:sz w:val="22"/>
          <w:szCs w:val="22"/>
        </w:rPr>
        <w:tab/>
      </w:r>
      <w:r>
        <w:t>Agrégation des plis en lots</w:t>
      </w:r>
      <w:r>
        <w:tab/>
      </w:r>
      <w:r>
        <w:fldChar w:fldCharType="begin"/>
      </w:r>
      <w:r>
        <w:instrText xml:space="preserve"> PAGEREF _Toc201153279 \h </w:instrText>
      </w:r>
      <w:r>
        <w:fldChar w:fldCharType="separate"/>
      </w:r>
      <w:r>
        <w:t>13</w:t>
      </w:r>
      <w:r>
        <w:fldChar w:fldCharType="end"/>
      </w:r>
    </w:p>
    <w:p w14:paraId="62EF5DA0" w14:textId="61CDC43A" w:rsidR="001A564F" w:rsidRDefault="001A564F">
      <w:pPr>
        <w:pStyle w:val="TM3"/>
        <w:rPr>
          <w:rFonts w:asciiTheme="minorHAnsi" w:eastAsiaTheme="minorEastAsia" w:hAnsiTheme="minorHAnsi" w:cstheme="minorBidi"/>
          <w:sz w:val="22"/>
          <w:szCs w:val="22"/>
        </w:rPr>
      </w:pPr>
      <w:r w:rsidRPr="007B7778">
        <w:t>4.3.5</w:t>
      </w:r>
      <w:r>
        <w:rPr>
          <w:rFonts w:asciiTheme="minorHAnsi" w:eastAsiaTheme="minorEastAsia" w:hAnsiTheme="minorHAnsi" w:cstheme="minorBidi"/>
          <w:sz w:val="22"/>
          <w:szCs w:val="22"/>
        </w:rPr>
        <w:tab/>
      </w:r>
      <w:r w:rsidRPr="007B7778">
        <w:t>Plan d’assurance qualité</w:t>
      </w:r>
      <w:r>
        <w:tab/>
      </w:r>
      <w:r>
        <w:fldChar w:fldCharType="begin"/>
      </w:r>
      <w:r>
        <w:instrText xml:space="preserve"> PAGEREF _Toc201153280 \h </w:instrText>
      </w:r>
      <w:r>
        <w:fldChar w:fldCharType="separate"/>
      </w:r>
      <w:r>
        <w:t>13</w:t>
      </w:r>
      <w:r>
        <w:fldChar w:fldCharType="end"/>
      </w:r>
    </w:p>
    <w:p w14:paraId="13E7B23F" w14:textId="03080CD2" w:rsidR="001A564F" w:rsidRDefault="001A564F">
      <w:pPr>
        <w:pStyle w:val="TM2"/>
        <w:rPr>
          <w:rFonts w:asciiTheme="minorHAnsi" w:eastAsiaTheme="minorEastAsia" w:hAnsiTheme="minorHAnsi" w:cstheme="minorBidi"/>
          <w:color w:val="auto"/>
          <w:sz w:val="22"/>
          <w:szCs w:val="22"/>
        </w:rPr>
      </w:pPr>
      <w:r w:rsidRPr="007B7778">
        <w:t>4.4</w:t>
      </w:r>
      <w:r>
        <w:rPr>
          <w:rFonts w:asciiTheme="minorHAnsi" w:eastAsiaTheme="minorEastAsia" w:hAnsiTheme="minorHAnsi" w:cstheme="minorBidi"/>
          <w:color w:val="auto"/>
          <w:sz w:val="22"/>
          <w:szCs w:val="22"/>
        </w:rPr>
        <w:tab/>
      </w:r>
      <w:r>
        <w:t>Phase de réversibilité</w:t>
      </w:r>
      <w:r>
        <w:tab/>
      </w:r>
      <w:r>
        <w:fldChar w:fldCharType="begin"/>
      </w:r>
      <w:r>
        <w:instrText xml:space="preserve"> PAGEREF _Toc201153281 \h </w:instrText>
      </w:r>
      <w:r>
        <w:fldChar w:fldCharType="separate"/>
      </w:r>
      <w:r>
        <w:t>13</w:t>
      </w:r>
      <w:r>
        <w:fldChar w:fldCharType="end"/>
      </w:r>
    </w:p>
    <w:p w14:paraId="3AADDCAD" w14:textId="0D63A1A5" w:rsidR="001A564F" w:rsidRDefault="001A564F">
      <w:pPr>
        <w:pStyle w:val="TM2"/>
        <w:rPr>
          <w:rFonts w:asciiTheme="minorHAnsi" w:eastAsiaTheme="minorEastAsia" w:hAnsiTheme="minorHAnsi" w:cstheme="minorBidi"/>
          <w:color w:val="auto"/>
          <w:sz w:val="22"/>
          <w:szCs w:val="22"/>
        </w:rPr>
      </w:pPr>
      <w:r w:rsidRPr="007B7778">
        <w:t>4.5</w:t>
      </w:r>
      <w:r>
        <w:rPr>
          <w:rFonts w:asciiTheme="minorHAnsi" w:eastAsiaTheme="minorEastAsia" w:hAnsiTheme="minorHAnsi" w:cstheme="minorBidi"/>
          <w:color w:val="auto"/>
          <w:sz w:val="22"/>
          <w:szCs w:val="22"/>
        </w:rPr>
        <w:tab/>
      </w:r>
      <w:r>
        <w:t>Unités d’œuvres et fournitures</w:t>
      </w:r>
      <w:r>
        <w:tab/>
      </w:r>
      <w:r>
        <w:fldChar w:fldCharType="begin"/>
      </w:r>
      <w:r>
        <w:instrText xml:space="preserve"> PAGEREF _Toc201153282 \h </w:instrText>
      </w:r>
      <w:r>
        <w:fldChar w:fldCharType="separate"/>
      </w:r>
      <w:r>
        <w:t>14</w:t>
      </w:r>
      <w:r>
        <w:fldChar w:fldCharType="end"/>
      </w:r>
    </w:p>
    <w:p w14:paraId="3AF79EC2" w14:textId="3B77AC75" w:rsidR="001A564F" w:rsidRDefault="001A564F">
      <w:pPr>
        <w:pStyle w:val="TM3"/>
        <w:rPr>
          <w:rFonts w:asciiTheme="minorHAnsi" w:eastAsiaTheme="minorEastAsia" w:hAnsiTheme="minorHAnsi" w:cstheme="minorBidi"/>
          <w:sz w:val="22"/>
          <w:szCs w:val="22"/>
        </w:rPr>
      </w:pPr>
      <w:r w:rsidRPr="007B7778">
        <w:t>4.5.1</w:t>
      </w:r>
      <w:r>
        <w:rPr>
          <w:rFonts w:asciiTheme="minorHAnsi" w:eastAsiaTheme="minorEastAsia" w:hAnsiTheme="minorHAnsi" w:cstheme="minorBidi"/>
          <w:sz w:val="22"/>
          <w:szCs w:val="22"/>
        </w:rPr>
        <w:tab/>
      </w:r>
      <w:r>
        <w:t>Evolution ou création de filière</w:t>
      </w:r>
      <w:r>
        <w:tab/>
      </w:r>
      <w:r>
        <w:fldChar w:fldCharType="begin"/>
      </w:r>
      <w:r>
        <w:instrText xml:space="preserve"> PAGEREF _Toc201153283 \h </w:instrText>
      </w:r>
      <w:r>
        <w:fldChar w:fldCharType="separate"/>
      </w:r>
      <w:r>
        <w:t>14</w:t>
      </w:r>
      <w:r>
        <w:fldChar w:fldCharType="end"/>
      </w:r>
    </w:p>
    <w:p w14:paraId="48923E03" w14:textId="59ECC7CD" w:rsidR="001A564F" w:rsidRDefault="001A564F">
      <w:pPr>
        <w:pStyle w:val="TM3"/>
        <w:rPr>
          <w:rFonts w:asciiTheme="minorHAnsi" w:eastAsiaTheme="minorEastAsia" w:hAnsiTheme="minorHAnsi" w:cstheme="minorBidi"/>
          <w:sz w:val="22"/>
          <w:szCs w:val="22"/>
        </w:rPr>
      </w:pPr>
      <w:r w:rsidRPr="007B7778">
        <w:t>4.5.2</w:t>
      </w:r>
      <w:r>
        <w:rPr>
          <w:rFonts w:asciiTheme="minorHAnsi" w:eastAsiaTheme="minorEastAsia" w:hAnsiTheme="minorHAnsi" w:cstheme="minorBidi"/>
          <w:sz w:val="22"/>
          <w:szCs w:val="22"/>
        </w:rPr>
        <w:tab/>
      </w:r>
      <w:r>
        <w:t>Impression</w:t>
      </w:r>
      <w:r>
        <w:tab/>
      </w:r>
      <w:r>
        <w:fldChar w:fldCharType="begin"/>
      </w:r>
      <w:r>
        <w:instrText xml:space="preserve"> PAGEREF _Toc201153284 \h </w:instrText>
      </w:r>
      <w:r>
        <w:fldChar w:fldCharType="separate"/>
      </w:r>
      <w:r>
        <w:t>14</w:t>
      </w:r>
      <w:r>
        <w:fldChar w:fldCharType="end"/>
      </w:r>
    </w:p>
    <w:p w14:paraId="2D61C225" w14:textId="1AC3BA5F" w:rsidR="001A564F" w:rsidRDefault="001A564F">
      <w:pPr>
        <w:pStyle w:val="TM3"/>
        <w:rPr>
          <w:rFonts w:asciiTheme="minorHAnsi" w:eastAsiaTheme="minorEastAsia" w:hAnsiTheme="minorHAnsi" w:cstheme="minorBidi"/>
          <w:sz w:val="22"/>
          <w:szCs w:val="22"/>
        </w:rPr>
      </w:pPr>
      <w:r w:rsidRPr="007B7778">
        <w:t>4.5.3</w:t>
      </w:r>
      <w:r>
        <w:rPr>
          <w:rFonts w:asciiTheme="minorHAnsi" w:eastAsiaTheme="minorEastAsia" w:hAnsiTheme="minorHAnsi" w:cstheme="minorBidi"/>
          <w:sz w:val="22"/>
          <w:szCs w:val="22"/>
        </w:rPr>
        <w:tab/>
      </w:r>
      <w:r>
        <w:t>Mise sous pli</w:t>
      </w:r>
      <w:r>
        <w:tab/>
      </w:r>
      <w:r>
        <w:fldChar w:fldCharType="begin"/>
      </w:r>
      <w:r>
        <w:instrText xml:space="preserve"> PAGEREF _Toc201153285 \h </w:instrText>
      </w:r>
      <w:r>
        <w:fldChar w:fldCharType="separate"/>
      </w:r>
      <w:r>
        <w:t>15</w:t>
      </w:r>
      <w:r>
        <w:fldChar w:fldCharType="end"/>
      </w:r>
    </w:p>
    <w:p w14:paraId="1A61E31B" w14:textId="0172485D" w:rsidR="001A564F" w:rsidRDefault="001A564F">
      <w:pPr>
        <w:pStyle w:val="TM3"/>
        <w:rPr>
          <w:rFonts w:asciiTheme="minorHAnsi" w:eastAsiaTheme="minorEastAsia" w:hAnsiTheme="minorHAnsi" w:cstheme="minorBidi"/>
          <w:sz w:val="22"/>
          <w:szCs w:val="22"/>
        </w:rPr>
      </w:pPr>
      <w:r w:rsidRPr="007B7778">
        <w:t>4.5.4</w:t>
      </w:r>
      <w:r>
        <w:rPr>
          <w:rFonts w:asciiTheme="minorHAnsi" w:eastAsiaTheme="minorEastAsia" w:hAnsiTheme="minorHAnsi" w:cstheme="minorBidi"/>
          <w:sz w:val="22"/>
          <w:szCs w:val="22"/>
        </w:rPr>
        <w:tab/>
      </w:r>
      <w:r>
        <w:t>Opération d'affranchissement</w:t>
      </w:r>
      <w:r>
        <w:tab/>
      </w:r>
      <w:r>
        <w:fldChar w:fldCharType="begin"/>
      </w:r>
      <w:r>
        <w:instrText xml:space="preserve"> PAGEREF _Toc201153286 \h </w:instrText>
      </w:r>
      <w:r>
        <w:fldChar w:fldCharType="separate"/>
      </w:r>
      <w:r>
        <w:t>15</w:t>
      </w:r>
      <w:r>
        <w:fldChar w:fldCharType="end"/>
      </w:r>
    </w:p>
    <w:p w14:paraId="3852383C" w14:textId="7895A010" w:rsidR="001A564F" w:rsidRDefault="001A564F">
      <w:pPr>
        <w:pStyle w:val="TM3"/>
        <w:rPr>
          <w:rFonts w:asciiTheme="minorHAnsi" w:eastAsiaTheme="minorEastAsia" w:hAnsiTheme="minorHAnsi" w:cstheme="minorBidi"/>
          <w:sz w:val="22"/>
          <w:szCs w:val="22"/>
        </w:rPr>
      </w:pPr>
      <w:r w:rsidRPr="007B7778">
        <w:t>4.5.5</w:t>
      </w:r>
      <w:r>
        <w:rPr>
          <w:rFonts w:asciiTheme="minorHAnsi" w:eastAsiaTheme="minorEastAsia" w:hAnsiTheme="minorHAnsi" w:cstheme="minorBidi"/>
          <w:sz w:val="22"/>
          <w:szCs w:val="22"/>
        </w:rPr>
        <w:tab/>
      </w:r>
      <w:r>
        <w:t>Livraison ponctuelle de colis</w:t>
      </w:r>
      <w:r>
        <w:tab/>
      </w:r>
      <w:r>
        <w:fldChar w:fldCharType="begin"/>
      </w:r>
      <w:r>
        <w:instrText xml:space="preserve"> PAGEREF _Toc201153287 \h </w:instrText>
      </w:r>
      <w:r>
        <w:fldChar w:fldCharType="separate"/>
      </w:r>
      <w:r>
        <w:t>16</w:t>
      </w:r>
      <w:r>
        <w:fldChar w:fldCharType="end"/>
      </w:r>
    </w:p>
    <w:p w14:paraId="45441CD4" w14:textId="661F57FA" w:rsidR="001A564F" w:rsidRDefault="001A564F">
      <w:pPr>
        <w:pStyle w:val="TM3"/>
        <w:rPr>
          <w:rFonts w:asciiTheme="minorHAnsi" w:eastAsiaTheme="minorEastAsia" w:hAnsiTheme="minorHAnsi" w:cstheme="minorBidi"/>
          <w:sz w:val="22"/>
          <w:szCs w:val="22"/>
        </w:rPr>
      </w:pPr>
      <w:r w:rsidRPr="007B7778">
        <w:t>4.5.6</w:t>
      </w:r>
      <w:r>
        <w:rPr>
          <w:rFonts w:asciiTheme="minorHAnsi" w:eastAsiaTheme="minorEastAsia" w:hAnsiTheme="minorHAnsi" w:cstheme="minorBidi"/>
          <w:sz w:val="22"/>
          <w:szCs w:val="22"/>
        </w:rPr>
        <w:tab/>
      </w:r>
      <w:r>
        <w:t>Courrier recommandé</w:t>
      </w:r>
      <w:r>
        <w:tab/>
      </w:r>
      <w:r>
        <w:fldChar w:fldCharType="begin"/>
      </w:r>
      <w:r>
        <w:instrText xml:space="preserve"> PAGEREF _Toc201153288 \h </w:instrText>
      </w:r>
      <w:r>
        <w:fldChar w:fldCharType="separate"/>
      </w:r>
      <w:r>
        <w:t>16</w:t>
      </w:r>
      <w:r>
        <w:fldChar w:fldCharType="end"/>
      </w:r>
    </w:p>
    <w:p w14:paraId="6112D259" w14:textId="7A1EFEBB" w:rsidR="001A564F" w:rsidRDefault="001A564F">
      <w:pPr>
        <w:pStyle w:val="TM3"/>
        <w:rPr>
          <w:rFonts w:asciiTheme="minorHAnsi" w:eastAsiaTheme="minorEastAsia" w:hAnsiTheme="minorHAnsi" w:cstheme="minorBidi"/>
          <w:sz w:val="22"/>
          <w:szCs w:val="22"/>
        </w:rPr>
      </w:pPr>
      <w:r w:rsidRPr="007B7778">
        <w:t>4.5.7</w:t>
      </w:r>
      <w:r>
        <w:rPr>
          <w:rFonts w:asciiTheme="minorHAnsi" w:eastAsiaTheme="minorEastAsia" w:hAnsiTheme="minorHAnsi" w:cstheme="minorBidi"/>
          <w:sz w:val="22"/>
          <w:szCs w:val="22"/>
        </w:rPr>
        <w:tab/>
      </w:r>
      <w:r>
        <w:t>Fourniture d'enveloppes et de papiers</w:t>
      </w:r>
      <w:r>
        <w:tab/>
      </w:r>
      <w:r>
        <w:fldChar w:fldCharType="begin"/>
      </w:r>
      <w:r>
        <w:instrText xml:space="preserve"> PAGEREF _Toc201153289 \h </w:instrText>
      </w:r>
      <w:r>
        <w:fldChar w:fldCharType="separate"/>
      </w:r>
      <w:r>
        <w:t>16</w:t>
      </w:r>
      <w:r>
        <w:fldChar w:fldCharType="end"/>
      </w:r>
    </w:p>
    <w:p w14:paraId="2A1C784D" w14:textId="1D75AFD2" w:rsidR="001A564F" w:rsidRDefault="001A564F">
      <w:pPr>
        <w:pStyle w:val="TM3"/>
        <w:rPr>
          <w:rFonts w:asciiTheme="minorHAnsi" w:eastAsiaTheme="minorEastAsia" w:hAnsiTheme="minorHAnsi" w:cstheme="minorBidi"/>
          <w:sz w:val="22"/>
          <w:szCs w:val="22"/>
        </w:rPr>
      </w:pPr>
      <w:r w:rsidRPr="007B7778">
        <w:t>4.5.8</w:t>
      </w:r>
      <w:r>
        <w:rPr>
          <w:rFonts w:asciiTheme="minorHAnsi" w:eastAsiaTheme="minorEastAsia" w:hAnsiTheme="minorHAnsi" w:cstheme="minorBidi"/>
          <w:sz w:val="22"/>
          <w:szCs w:val="22"/>
        </w:rPr>
        <w:tab/>
      </w:r>
      <w:r>
        <w:t>Pli non distribué (PND)</w:t>
      </w:r>
      <w:r>
        <w:tab/>
      </w:r>
      <w:r>
        <w:fldChar w:fldCharType="begin"/>
      </w:r>
      <w:r>
        <w:instrText xml:space="preserve"> PAGEREF _Toc201153290 \h </w:instrText>
      </w:r>
      <w:r>
        <w:fldChar w:fldCharType="separate"/>
      </w:r>
      <w:r>
        <w:t>17</w:t>
      </w:r>
      <w:r>
        <w:fldChar w:fldCharType="end"/>
      </w:r>
    </w:p>
    <w:p w14:paraId="213FDEE4" w14:textId="580B636F" w:rsidR="001A564F" w:rsidRDefault="001A564F">
      <w:pPr>
        <w:pStyle w:val="TM3"/>
        <w:rPr>
          <w:rFonts w:asciiTheme="minorHAnsi" w:eastAsiaTheme="minorEastAsia" w:hAnsiTheme="minorHAnsi" w:cstheme="minorBidi"/>
          <w:sz w:val="22"/>
          <w:szCs w:val="22"/>
        </w:rPr>
      </w:pPr>
      <w:r w:rsidRPr="007B7778">
        <w:t>4.5.9</w:t>
      </w:r>
      <w:r>
        <w:rPr>
          <w:rFonts w:asciiTheme="minorHAnsi" w:eastAsiaTheme="minorEastAsia" w:hAnsiTheme="minorHAnsi" w:cstheme="minorBidi"/>
          <w:sz w:val="22"/>
          <w:szCs w:val="22"/>
        </w:rPr>
        <w:tab/>
      </w:r>
      <w:r>
        <w:t>Affranchissement étranger</w:t>
      </w:r>
      <w:r>
        <w:tab/>
      </w:r>
      <w:r>
        <w:fldChar w:fldCharType="begin"/>
      </w:r>
      <w:r>
        <w:instrText xml:space="preserve"> PAGEREF _Toc201153291 \h </w:instrText>
      </w:r>
      <w:r>
        <w:fldChar w:fldCharType="separate"/>
      </w:r>
      <w:r>
        <w:t>17</w:t>
      </w:r>
      <w:r>
        <w:fldChar w:fldCharType="end"/>
      </w:r>
    </w:p>
    <w:p w14:paraId="2A569E28" w14:textId="49494B18" w:rsidR="001A564F" w:rsidRDefault="001A564F">
      <w:pPr>
        <w:pStyle w:val="TM1"/>
        <w:rPr>
          <w:rFonts w:asciiTheme="minorHAnsi" w:eastAsiaTheme="minorEastAsia" w:hAnsiTheme="minorHAnsi" w:cstheme="minorBidi"/>
          <w:color w:val="auto"/>
        </w:rPr>
      </w:pPr>
      <w:r w:rsidRPr="007B7778">
        <w:t>5</w:t>
      </w:r>
      <w:r>
        <w:rPr>
          <w:rFonts w:asciiTheme="minorHAnsi" w:eastAsiaTheme="minorEastAsia" w:hAnsiTheme="minorHAnsi" w:cstheme="minorBidi"/>
          <w:color w:val="auto"/>
        </w:rPr>
        <w:tab/>
      </w:r>
      <w:r>
        <w:t>QUALITE DE SERVICE</w:t>
      </w:r>
      <w:r>
        <w:tab/>
      </w:r>
      <w:r>
        <w:fldChar w:fldCharType="begin"/>
      </w:r>
      <w:r>
        <w:instrText xml:space="preserve"> PAGEREF _Toc201153292 \h </w:instrText>
      </w:r>
      <w:r>
        <w:fldChar w:fldCharType="separate"/>
      </w:r>
      <w:r>
        <w:t>17</w:t>
      </w:r>
      <w:r>
        <w:fldChar w:fldCharType="end"/>
      </w:r>
    </w:p>
    <w:p w14:paraId="57FE2964" w14:textId="3D6D6D45" w:rsidR="001A564F" w:rsidRDefault="001A564F">
      <w:pPr>
        <w:pStyle w:val="TM2"/>
        <w:rPr>
          <w:rFonts w:asciiTheme="minorHAnsi" w:eastAsiaTheme="minorEastAsia" w:hAnsiTheme="minorHAnsi" w:cstheme="minorBidi"/>
          <w:color w:val="auto"/>
          <w:sz w:val="22"/>
          <w:szCs w:val="22"/>
        </w:rPr>
      </w:pPr>
      <w:r w:rsidRPr="007B7778">
        <w:t>5.1</w:t>
      </w:r>
      <w:r>
        <w:rPr>
          <w:rFonts w:asciiTheme="minorHAnsi" w:eastAsiaTheme="minorEastAsia" w:hAnsiTheme="minorHAnsi" w:cstheme="minorBidi"/>
          <w:color w:val="auto"/>
          <w:sz w:val="22"/>
          <w:szCs w:val="22"/>
        </w:rPr>
        <w:tab/>
      </w:r>
      <w:r>
        <w:t>Suivi du marché</w:t>
      </w:r>
      <w:r>
        <w:tab/>
      </w:r>
      <w:r>
        <w:fldChar w:fldCharType="begin"/>
      </w:r>
      <w:r>
        <w:instrText xml:space="preserve"> PAGEREF _Toc201153293 \h </w:instrText>
      </w:r>
      <w:r>
        <w:fldChar w:fldCharType="separate"/>
      </w:r>
      <w:r>
        <w:t>17</w:t>
      </w:r>
      <w:r>
        <w:fldChar w:fldCharType="end"/>
      </w:r>
    </w:p>
    <w:p w14:paraId="4C86B865" w14:textId="3CC7AD7F" w:rsidR="001A564F" w:rsidRDefault="001A564F">
      <w:pPr>
        <w:pStyle w:val="TM3"/>
        <w:rPr>
          <w:rFonts w:asciiTheme="minorHAnsi" w:eastAsiaTheme="minorEastAsia" w:hAnsiTheme="minorHAnsi" w:cstheme="minorBidi"/>
          <w:sz w:val="22"/>
          <w:szCs w:val="22"/>
        </w:rPr>
      </w:pPr>
      <w:r w:rsidRPr="007B7778">
        <w:t>5.1.1</w:t>
      </w:r>
      <w:r>
        <w:rPr>
          <w:rFonts w:asciiTheme="minorHAnsi" w:eastAsiaTheme="minorEastAsia" w:hAnsiTheme="minorHAnsi" w:cstheme="minorBidi"/>
          <w:sz w:val="22"/>
          <w:szCs w:val="22"/>
        </w:rPr>
        <w:tab/>
      </w:r>
      <w:r>
        <w:t>Réunion trimestrielle</w:t>
      </w:r>
      <w:r>
        <w:tab/>
      </w:r>
      <w:r>
        <w:fldChar w:fldCharType="begin"/>
      </w:r>
      <w:r>
        <w:instrText xml:space="preserve"> PAGEREF _Toc201153294 \h </w:instrText>
      </w:r>
      <w:r>
        <w:fldChar w:fldCharType="separate"/>
      </w:r>
      <w:r>
        <w:t>17</w:t>
      </w:r>
      <w:r>
        <w:fldChar w:fldCharType="end"/>
      </w:r>
    </w:p>
    <w:p w14:paraId="675CD713" w14:textId="04B52F78" w:rsidR="001A564F" w:rsidRDefault="001A564F">
      <w:pPr>
        <w:pStyle w:val="TM3"/>
        <w:rPr>
          <w:rFonts w:asciiTheme="minorHAnsi" w:eastAsiaTheme="minorEastAsia" w:hAnsiTheme="minorHAnsi" w:cstheme="minorBidi"/>
          <w:sz w:val="22"/>
          <w:szCs w:val="22"/>
        </w:rPr>
      </w:pPr>
      <w:r w:rsidRPr="007B7778">
        <w:t>5.1.2</w:t>
      </w:r>
      <w:r>
        <w:rPr>
          <w:rFonts w:asciiTheme="minorHAnsi" w:eastAsiaTheme="minorEastAsia" w:hAnsiTheme="minorHAnsi" w:cstheme="minorBidi"/>
          <w:sz w:val="22"/>
          <w:szCs w:val="22"/>
        </w:rPr>
        <w:tab/>
      </w:r>
      <w:r>
        <w:t>Equipe du Titulaire</w:t>
      </w:r>
      <w:r>
        <w:tab/>
      </w:r>
      <w:r>
        <w:fldChar w:fldCharType="begin"/>
      </w:r>
      <w:r>
        <w:instrText xml:space="preserve"> PAGEREF _Toc201153295 \h </w:instrText>
      </w:r>
      <w:r>
        <w:fldChar w:fldCharType="separate"/>
      </w:r>
      <w:r>
        <w:t>18</w:t>
      </w:r>
      <w:r>
        <w:fldChar w:fldCharType="end"/>
      </w:r>
    </w:p>
    <w:p w14:paraId="6FB3F2AE" w14:textId="458D9D70" w:rsidR="001A564F" w:rsidRDefault="001A564F">
      <w:pPr>
        <w:pStyle w:val="TM3"/>
        <w:rPr>
          <w:rFonts w:asciiTheme="minorHAnsi" w:eastAsiaTheme="minorEastAsia" w:hAnsiTheme="minorHAnsi" w:cstheme="minorBidi"/>
          <w:sz w:val="22"/>
          <w:szCs w:val="22"/>
        </w:rPr>
      </w:pPr>
      <w:r w:rsidRPr="007B7778">
        <w:t>5.1.3</w:t>
      </w:r>
      <w:r>
        <w:rPr>
          <w:rFonts w:asciiTheme="minorHAnsi" w:eastAsiaTheme="minorEastAsia" w:hAnsiTheme="minorHAnsi" w:cstheme="minorBidi"/>
          <w:sz w:val="22"/>
          <w:szCs w:val="22"/>
        </w:rPr>
        <w:tab/>
      </w:r>
      <w:r>
        <w:t>Respect des coûts</w:t>
      </w:r>
      <w:r>
        <w:tab/>
      </w:r>
      <w:r>
        <w:fldChar w:fldCharType="begin"/>
      </w:r>
      <w:r>
        <w:instrText xml:space="preserve"> PAGEREF _Toc201153296 \h </w:instrText>
      </w:r>
      <w:r>
        <w:fldChar w:fldCharType="separate"/>
      </w:r>
      <w:r>
        <w:t>18</w:t>
      </w:r>
      <w:r>
        <w:fldChar w:fldCharType="end"/>
      </w:r>
    </w:p>
    <w:p w14:paraId="6571E3F0" w14:textId="53B85805" w:rsidR="001A564F" w:rsidRDefault="001A564F">
      <w:pPr>
        <w:pStyle w:val="TM3"/>
        <w:rPr>
          <w:rFonts w:asciiTheme="minorHAnsi" w:eastAsiaTheme="minorEastAsia" w:hAnsiTheme="minorHAnsi" w:cstheme="minorBidi"/>
          <w:sz w:val="22"/>
          <w:szCs w:val="22"/>
        </w:rPr>
      </w:pPr>
      <w:r w:rsidRPr="007B7778">
        <w:t>5.1.4</w:t>
      </w:r>
      <w:r>
        <w:rPr>
          <w:rFonts w:asciiTheme="minorHAnsi" w:eastAsiaTheme="minorEastAsia" w:hAnsiTheme="minorHAnsi" w:cstheme="minorBidi"/>
          <w:sz w:val="22"/>
          <w:szCs w:val="22"/>
        </w:rPr>
        <w:tab/>
      </w:r>
      <w:r>
        <w:t>Respect des délais</w:t>
      </w:r>
      <w:r>
        <w:tab/>
      </w:r>
      <w:r>
        <w:fldChar w:fldCharType="begin"/>
      </w:r>
      <w:r>
        <w:instrText xml:space="preserve"> PAGEREF _Toc201153297 \h </w:instrText>
      </w:r>
      <w:r>
        <w:fldChar w:fldCharType="separate"/>
      </w:r>
      <w:r>
        <w:t>18</w:t>
      </w:r>
      <w:r>
        <w:fldChar w:fldCharType="end"/>
      </w:r>
    </w:p>
    <w:p w14:paraId="5D424939" w14:textId="00C9846F" w:rsidR="001A564F" w:rsidRDefault="001A564F">
      <w:pPr>
        <w:pStyle w:val="TM2"/>
        <w:rPr>
          <w:rFonts w:asciiTheme="minorHAnsi" w:eastAsiaTheme="minorEastAsia" w:hAnsiTheme="minorHAnsi" w:cstheme="minorBidi"/>
          <w:color w:val="auto"/>
          <w:sz w:val="22"/>
          <w:szCs w:val="22"/>
        </w:rPr>
      </w:pPr>
      <w:r w:rsidRPr="007B7778">
        <w:t>5.2</w:t>
      </w:r>
      <w:r>
        <w:rPr>
          <w:rFonts w:asciiTheme="minorHAnsi" w:eastAsiaTheme="minorEastAsia" w:hAnsiTheme="minorHAnsi" w:cstheme="minorBidi"/>
          <w:color w:val="auto"/>
          <w:sz w:val="22"/>
          <w:szCs w:val="22"/>
        </w:rPr>
        <w:tab/>
      </w:r>
      <w:r>
        <w:t>Pilotage de la production</w:t>
      </w:r>
      <w:r>
        <w:tab/>
      </w:r>
      <w:r>
        <w:fldChar w:fldCharType="begin"/>
      </w:r>
      <w:r>
        <w:instrText xml:space="preserve"> PAGEREF _Toc201153298 \h </w:instrText>
      </w:r>
      <w:r>
        <w:fldChar w:fldCharType="separate"/>
      </w:r>
      <w:r>
        <w:t>18</w:t>
      </w:r>
      <w:r>
        <w:fldChar w:fldCharType="end"/>
      </w:r>
    </w:p>
    <w:p w14:paraId="53000425" w14:textId="333A9D6E" w:rsidR="001A564F" w:rsidRDefault="001A564F">
      <w:pPr>
        <w:pStyle w:val="TM3"/>
        <w:rPr>
          <w:rFonts w:asciiTheme="minorHAnsi" w:eastAsiaTheme="minorEastAsia" w:hAnsiTheme="minorHAnsi" w:cstheme="minorBidi"/>
          <w:sz w:val="22"/>
          <w:szCs w:val="22"/>
        </w:rPr>
      </w:pPr>
      <w:r w:rsidRPr="007B7778">
        <w:t>5.2.1</w:t>
      </w:r>
      <w:r>
        <w:rPr>
          <w:rFonts w:asciiTheme="minorHAnsi" w:eastAsiaTheme="minorEastAsia" w:hAnsiTheme="minorHAnsi" w:cstheme="minorBidi"/>
          <w:sz w:val="22"/>
          <w:szCs w:val="22"/>
        </w:rPr>
        <w:tab/>
      </w:r>
      <w:r>
        <w:t>Suivi des documents à produire</w:t>
      </w:r>
      <w:r>
        <w:tab/>
      </w:r>
      <w:r>
        <w:fldChar w:fldCharType="begin"/>
      </w:r>
      <w:r>
        <w:instrText xml:space="preserve"> PAGEREF _Toc201153299 \h </w:instrText>
      </w:r>
      <w:r>
        <w:fldChar w:fldCharType="separate"/>
      </w:r>
      <w:r>
        <w:t>18</w:t>
      </w:r>
      <w:r>
        <w:fldChar w:fldCharType="end"/>
      </w:r>
    </w:p>
    <w:p w14:paraId="42ABE39F" w14:textId="4C4B081A" w:rsidR="001A564F" w:rsidRDefault="001A564F">
      <w:pPr>
        <w:pStyle w:val="TM3"/>
        <w:rPr>
          <w:rFonts w:asciiTheme="minorHAnsi" w:eastAsiaTheme="minorEastAsia" w:hAnsiTheme="minorHAnsi" w:cstheme="minorBidi"/>
          <w:sz w:val="22"/>
          <w:szCs w:val="22"/>
        </w:rPr>
      </w:pPr>
      <w:r w:rsidRPr="007B7778">
        <w:t>5.2.2</w:t>
      </w:r>
      <w:r>
        <w:rPr>
          <w:rFonts w:asciiTheme="minorHAnsi" w:eastAsiaTheme="minorEastAsia" w:hAnsiTheme="minorHAnsi" w:cstheme="minorBidi"/>
          <w:sz w:val="22"/>
          <w:szCs w:val="22"/>
        </w:rPr>
        <w:tab/>
      </w:r>
      <w:r>
        <w:t>Supervision de la Production – reporting</w:t>
      </w:r>
      <w:r>
        <w:tab/>
      </w:r>
      <w:r>
        <w:fldChar w:fldCharType="begin"/>
      </w:r>
      <w:r>
        <w:instrText xml:space="preserve"> PAGEREF _Toc201153300 \h </w:instrText>
      </w:r>
      <w:r>
        <w:fldChar w:fldCharType="separate"/>
      </w:r>
      <w:r>
        <w:t>19</w:t>
      </w:r>
      <w:r>
        <w:fldChar w:fldCharType="end"/>
      </w:r>
    </w:p>
    <w:p w14:paraId="57481EFB" w14:textId="1E2DEF97" w:rsidR="001A564F" w:rsidRDefault="001A564F">
      <w:pPr>
        <w:pStyle w:val="TM2"/>
        <w:rPr>
          <w:rFonts w:asciiTheme="minorHAnsi" w:eastAsiaTheme="minorEastAsia" w:hAnsiTheme="minorHAnsi" w:cstheme="minorBidi"/>
          <w:color w:val="auto"/>
          <w:sz w:val="22"/>
          <w:szCs w:val="22"/>
        </w:rPr>
      </w:pPr>
      <w:r w:rsidRPr="007B7778">
        <w:t>5.3</w:t>
      </w:r>
      <w:r>
        <w:rPr>
          <w:rFonts w:asciiTheme="minorHAnsi" w:eastAsiaTheme="minorEastAsia" w:hAnsiTheme="minorHAnsi" w:cstheme="minorBidi"/>
          <w:color w:val="auto"/>
          <w:sz w:val="22"/>
          <w:szCs w:val="22"/>
        </w:rPr>
        <w:tab/>
      </w:r>
      <w:r>
        <w:t>Performance</w:t>
      </w:r>
      <w:r>
        <w:tab/>
      </w:r>
      <w:r>
        <w:fldChar w:fldCharType="begin"/>
      </w:r>
      <w:r>
        <w:instrText xml:space="preserve"> PAGEREF _Toc201153301 \h </w:instrText>
      </w:r>
      <w:r>
        <w:fldChar w:fldCharType="separate"/>
      </w:r>
      <w:r>
        <w:t>20</w:t>
      </w:r>
      <w:r>
        <w:fldChar w:fldCharType="end"/>
      </w:r>
    </w:p>
    <w:p w14:paraId="04D96352" w14:textId="4A34847C" w:rsidR="001A564F" w:rsidRDefault="001A564F">
      <w:pPr>
        <w:pStyle w:val="TM3"/>
        <w:rPr>
          <w:rFonts w:asciiTheme="minorHAnsi" w:eastAsiaTheme="minorEastAsia" w:hAnsiTheme="minorHAnsi" w:cstheme="minorBidi"/>
          <w:sz w:val="22"/>
          <w:szCs w:val="22"/>
        </w:rPr>
      </w:pPr>
      <w:r w:rsidRPr="007B7778">
        <w:t>5.3.1</w:t>
      </w:r>
      <w:r>
        <w:rPr>
          <w:rFonts w:asciiTheme="minorHAnsi" w:eastAsiaTheme="minorEastAsia" w:hAnsiTheme="minorHAnsi" w:cstheme="minorBidi"/>
          <w:sz w:val="22"/>
          <w:szCs w:val="22"/>
        </w:rPr>
        <w:tab/>
      </w:r>
      <w:r>
        <w:t>Qualité de la prise en compte et de traitement des courriers</w:t>
      </w:r>
      <w:r>
        <w:tab/>
      </w:r>
      <w:r>
        <w:fldChar w:fldCharType="begin"/>
      </w:r>
      <w:r>
        <w:instrText xml:space="preserve"> PAGEREF _Toc201153302 \h </w:instrText>
      </w:r>
      <w:r>
        <w:fldChar w:fldCharType="separate"/>
      </w:r>
      <w:r>
        <w:t>20</w:t>
      </w:r>
      <w:r>
        <w:fldChar w:fldCharType="end"/>
      </w:r>
    </w:p>
    <w:p w14:paraId="22C3F5FE" w14:textId="767AFB58" w:rsidR="001A564F" w:rsidRDefault="001A564F">
      <w:pPr>
        <w:pStyle w:val="TM3"/>
        <w:rPr>
          <w:rFonts w:asciiTheme="minorHAnsi" w:eastAsiaTheme="minorEastAsia" w:hAnsiTheme="minorHAnsi" w:cstheme="minorBidi"/>
          <w:sz w:val="22"/>
          <w:szCs w:val="22"/>
        </w:rPr>
      </w:pPr>
      <w:r w:rsidRPr="007B7778">
        <w:t>5.3.2</w:t>
      </w:r>
      <w:r>
        <w:rPr>
          <w:rFonts w:asciiTheme="minorHAnsi" w:eastAsiaTheme="minorEastAsia" w:hAnsiTheme="minorHAnsi" w:cstheme="minorBidi"/>
          <w:sz w:val="22"/>
          <w:szCs w:val="22"/>
        </w:rPr>
        <w:tab/>
      </w:r>
      <w:r>
        <w:t>Délais de remise en poste ou de distribution</w:t>
      </w:r>
      <w:r>
        <w:tab/>
      </w:r>
      <w:r>
        <w:fldChar w:fldCharType="begin"/>
      </w:r>
      <w:r>
        <w:instrText xml:space="preserve"> PAGEREF _Toc201153303 \h </w:instrText>
      </w:r>
      <w:r>
        <w:fldChar w:fldCharType="separate"/>
      </w:r>
      <w:r>
        <w:t>20</w:t>
      </w:r>
      <w:r>
        <w:fldChar w:fldCharType="end"/>
      </w:r>
    </w:p>
    <w:p w14:paraId="52C0C366" w14:textId="484135A0" w:rsidR="001A564F" w:rsidRDefault="001A564F">
      <w:pPr>
        <w:pStyle w:val="TM1"/>
        <w:rPr>
          <w:rFonts w:asciiTheme="minorHAnsi" w:eastAsiaTheme="minorEastAsia" w:hAnsiTheme="minorHAnsi" w:cstheme="minorBidi"/>
          <w:color w:val="auto"/>
        </w:rPr>
      </w:pPr>
      <w:r w:rsidRPr="007B7778">
        <w:t>6</w:t>
      </w:r>
      <w:r>
        <w:rPr>
          <w:rFonts w:asciiTheme="minorHAnsi" w:eastAsiaTheme="minorEastAsia" w:hAnsiTheme="minorHAnsi" w:cstheme="minorBidi"/>
          <w:color w:val="auto"/>
        </w:rPr>
        <w:tab/>
      </w:r>
      <w:r>
        <w:t>CONTINUITE DE SERVICE</w:t>
      </w:r>
      <w:r>
        <w:tab/>
      </w:r>
      <w:r>
        <w:fldChar w:fldCharType="begin"/>
      </w:r>
      <w:r>
        <w:instrText xml:space="preserve"> PAGEREF _Toc201153304 \h </w:instrText>
      </w:r>
      <w:r>
        <w:fldChar w:fldCharType="separate"/>
      </w:r>
      <w:r>
        <w:t>21</w:t>
      </w:r>
      <w:r>
        <w:fldChar w:fldCharType="end"/>
      </w:r>
    </w:p>
    <w:p w14:paraId="48150DC0" w14:textId="3EFD548D" w:rsidR="001A564F" w:rsidRDefault="001A564F">
      <w:pPr>
        <w:pStyle w:val="TM2"/>
        <w:rPr>
          <w:rFonts w:asciiTheme="minorHAnsi" w:eastAsiaTheme="minorEastAsia" w:hAnsiTheme="minorHAnsi" w:cstheme="minorBidi"/>
          <w:color w:val="auto"/>
          <w:sz w:val="22"/>
          <w:szCs w:val="22"/>
        </w:rPr>
      </w:pPr>
      <w:r w:rsidRPr="007B7778">
        <w:t>6.1</w:t>
      </w:r>
      <w:r>
        <w:rPr>
          <w:rFonts w:asciiTheme="minorHAnsi" w:eastAsiaTheme="minorEastAsia" w:hAnsiTheme="minorHAnsi" w:cstheme="minorBidi"/>
          <w:color w:val="auto"/>
          <w:sz w:val="22"/>
          <w:szCs w:val="22"/>
        </w:rPr>
        <w:tab/>
      </w:r>
      <w:r>
        <w:t>Traitement des incidents et litiges – principe d’escalade</w:t>
      </w:r>
      <w:r>
        <w:tab/>
      </w:r>
      <w:r>
        <w:fldChar w:fldCharType="begin"/>
      </w:r>
      <w:r>
        <w:instrText xml:space="preserve"> PAGEREF _Toc201153305 \h </w:instrText>
      </w:r>
      <w:r>
        <w:fldChar w:fldCharType="separate"/>
      </w:r>
      <w:r>
        <w:t>21</w:t>
      </w:r>
      <w:r>
        <w:fldChar w:fldCharType="end"/>
      </w:r>
    </w:p>
    <w:p w14:paraId="6ABD5597" w14:textId="12576523" w:rsidR="001A564F" w:rsidRDefault="001A564F">
      <w:pPr>
        <w:pStyle w:val="TM2"/>
        <w:rPr>
          <w:rFonts w:asciiTheme="minorHAnsi" w:eastAsiaTheme="minorEastAsia" w:hAnsiTheme="minorHAnsi" w:cstheme="minorBidi"/>
          <w:color w:val="auto"/>
          <w:sz w:val="22"/>
          <w:szCs w:val="22"/>
        </w:rPr>
      </w:pPr>
      <w:r w:rsidRPr="007B7778">
        <w:t>6.2</w:t>
      </w:r>
      <w:r>
        <w:rPr>
          <w:rFonts w:asciiTheme="minorHAnsi" w:eastAsiaTheme="minorEastAsia" w:hAnsiTheme="minorHAnsi" w:cstheme="minorBidi"/>
          <w:color w:val="auto"/>
          <w:sz w:val="22"/>
          <w:szCs w:val="22"/>
        </w:rPr>
        <w:tab/>
      </w:r>
      <w:r>
        <w:t>Plan de Reprise ou de Continuité d’Activité</w:t>
      </w:r>
      <w:r>
        <w:tab/>
      </w:r>
      <w:r>
        <w:fldChar w:fldCharType="begin"/>
      </w:r>
      <w:r>
        <w:instrText xml:space="preserve"> PAGEREF _Toc201153306 \h </w:instrText>
      </w:r>
      <w:r>
        <w:fldChar w:fldCharType="separate"/>
      </w:r>
      <w:r>
        <w:t>21</w:t>
      </w:r>
      <w:r>
        <w:fldChar w:fldCharType="end"/>
      </w:r>
    </w:p>
    <w:p w14:paraId="7C896FB2" w14:textId="67BFA5D0" w:rsidR="001A564F" w:rsidRDefault="001A564F">
      <w:pPr>
        <w:pStyle w:val="TM1"/>
        <w:rPr>
          <w:rFonts w:asciiTheme="minorHAnsi" w:eastAsiaTheme="minorEastAsia" w:hAnsiTheme="minorHAnsi" w:cstheme="minorBidi"/>
          <w:color w:val="auto"/>
        </w:rPr>
      </w:pPr>
      <w:r w:rsidRPr="007B7778">
        <w:lastRenderedPageBreak/>
        <w:t>7</w:t>
      </w:r>
      <w:r>
        <w:rPr>
          <w:rFonts w:asciiTheme="minorHAnsi" w:eastAsiaTheme="minorEastAsia" w:hAnsiTheme="minorHAnsi" w:cstheme="minorBidi"/>
          <w:color w:val="auto"/>
        </w:rPr>
        <w:tab/>
      </w:r>
      <w:r>
        <w:t>CONFIDENTIALITE</w:t>
      </w:r>
      <w:r>
        <w:tab/>
      </w:r>
      <w:r>
        <w:fldChar w:fldCharType="begin"/>
      </w:r>
      <w:r>
        <w:instrText xml:space="preserve"> PAGEREF _Toc201153307 \h </w:instrText>
      </w:r>
      <w:r>
        <w:fldChar w:fldCharType="separate"/>
      </w:r>
      <w:r>
        <w:t>21</w:t>
      </w:r>
      <w:r>
        <w:fldChar w:fldCharType="end"/>
      </w:r>
    </w:p>
    <w:p w14:paraId="3F8F0ACE" w14:textId="6453AE0E" w:rsidR="001A564F" w:rsidRDefault="001A564F">
      <w:pPr>
        <w:pStyle w:val="TM2"/>
        <w:rPr>
          <w:rFonts w:asciiTheme="minorHAnsi" w:eastAsiaTheme="minorEastAsia" w:hAnsiTheme="minorHAnsi" w:cstheme="minorBidi"/>
          <w:color w:val="auto"/>
          <w:sz w:val="22"/>
          <w:szCs w:val="22"/>
        </w:rPr>
      </w:pPr>
      <w:r w:rsidRPr="007B7778">
        <w:t>7.1</w:t>
      </w:r>
      <w:r>
        <w:rPr>
          <w:rFonts w:asciiTheme="minorHAnsi" w:eastAsiaTheme="minorEastAsia" w:hAnsiTheme="minorHAnsi" w:cstheme="minorBidi"/>
          <w:color w:val="auto"/>
          <w:sz w:val="22"/>
          <w:szCs w:val="22"/>
        </w:rPr>
        <w:tab/>
      </w:r>
      <w:r>
        <w:t>Données de santé</w:t>
      </w:r>
      <w:r>
        <w:tab/>
      </w:r>
      <w:r>
        <w:fldChar w:fldCharType="begin"/>
      </w:r>
      <w:r>
        <w:instrText xml:space="preserve"> PAGEREF _Toc201153308 \h </w:instrText>
      </w:r>
      <w:r>
        <w:fldChar w:fldCharType="separate"/>
      </w:r>
      <w:r>
        <w:t>21</w:t>
      </w:r>
      <w:r>
        <w:fldChar w:fldCharType="end"/>
      </w:r>
    </w:p>
    <w:p w14:paraId="6D9E6683" w14:textId="7F6F4F8E" w:rsidR="001A564F" w:rsidRDefault="001A564F">
      <w:pPr>
        <w:pStyle w:val="TM2"/>
        <w:rPr>
          <w:rFonts w:asciiTheme="minorHAnsi" w:eastAsiaTheme="minorEastAsia" w:hAnsiTheme="minorHAnsi" w:cstheme="minorBidi"/>
          <w:color w:val="auto"/>
          <w:sz w:val="22"/>
          <w:szCs w:val="22"/>
        </w:rPr>
      </w:pPr>
      <w:r w:rsidRPr="007B7778">
        <w:t>7.2</w:t>
      </w:r>
      <w:r>
        <w:rPr>
          <w:rFonts w:asciiTheme="minorHAnsi" w:eastAsiaTheme="minorEastAsia" w:hAnsiTheme="minorHAnsi" w:cstheme="minorBidi"/>
          <w:color w:val="auto"/>
          <w:sz w:val="22"/>
          <w:szCs w:val="22"/>
        </w:rPr>
        <w:tab/>
      </w:r>
      <w:r>
        <w:t>Intégrité des données</w:t>
      </w:r>
      <w:r>
        <w:tab/>
      </w:r>
      <w:r>
        <w:fldChar w:fldCharType="begin"/>
      </w:r>
      <w:r>
        <w:instrText xml:space="preserve"> PAGEREF _Toc201153309 \h </w:instrText>
      </w:r>
      <w:r>
        <w:fldChar w:fldCharType="separate"/>
      </w:r>
      <w:r>
        <w:t>22</w:t>
      </w:r>
      <w:r>
        <w:fldChar w:fldCharType="end"/>
      </w:r>
    </w:p>
    <w:p w14:paraId="70CF9C15" w14:textId="76354F18" w:rsidR="001A564F" w:rsidRDefault="001A564F">
      <w:pPr>
        <w:pStyle w:val="TM2"/>
        <w:rPr>
          <w:rFonts w:asciiTheme="minorHAnsi" w:eastAsiaTheme="minorEastAsia" w:hAnsiTheme="minorHAnsi" w:cstheme="minorBidi"/>
          <w:color w:val="auto"/>
          <w:sz w:val="22"/>
          <w:szCs w:val="22"/>
        </w:rPr>
      </w:pPr>
      <w:r w:rsidRPr="007B7778">
        <w:t>7.3</w:t>
      </w:r>
      <w:r>
        <w:rPr>
          <w:rFonts w:asciiTheme="minorHAnsi" w:eastAsiaTheme="minorEastAsia" w:hAnsiTheme="minorHAnsi" w:cstheme="minorBidi"/>
          <w:color w:val="auto"/>
          <w:sz w:val="22"/>
          <w:szCs w:val="22"/>
        </w:rPr>
        <w:tab/>
      </w:r>
      <w:r>
        <w:t>Erreurs d’aiguillages</w:t>
      </w:r>
      <w:r>
        <w:tab/>
      </w:r>
      <w:r>
        <w:fldChar w:fldCharType="begin"/>
      </w:r>
      <w:r>
        <w:instrText xml:space="preserve"> PAGEREF _Toc201153310 \h </w:instrText>
      </w:r>
      <w:r>
        <w:fldChar w:fldCharType="separate"/>
      </w:r>
      <w:r>
        <w:t>22</w:t>
      </w:r>
      <w:r>
        <w:fldChar w:fldCharType="end"/>
      </w:r>
    </w:p>
    <w:p w14:paraId="67A3D26E" w14:textId="24D646C7" w:rsidR="001A564F" w:rsidRDefault="001A564F">
      <w:pPr>
        <w:pStyle w:val="TM2"/>
        <w:rPr>
          <w:rFonts w:asciiTheme="minorHAnsi" w:eastAsiaTheme="minorEastAsia" w:hAnsiTheme="minorHAnsi" w:cstheme="minorBidi"/>
          <w:color w:val="auto"/>
          <w:sz w:val="22"/>
          <w:szCs w:val="22"/>
        </w:rPr>
      </w:pPr>
      <w:r w:rsidRPr="007B7778">
        <w:t>7.4</w:t>
      </w:r>
      <w:r>
        <w:rPr>
          <w:rFonts w:asciiTheme="minorHAnsi" w:eastAsiaTheme="minorEastAsia" w:hAnsiTheme="minorHAnsi" w:cstheme="minorBidi"/>
          <w:color w:val="auto"/>
          <w:sz w:val="22"/>
          <w:szCs w:val="22"/>
        </w:rPr>
        <w:tab/>
      </w:r>
      <w:r>
        <w:t>Conservation des Informations</w:t>
      </w:r>
      <w:r>
        <w:tab/>
      </w:r>
      <w:r>
        <w:fldChar w:fldCharType="begin"/>
      </w:r>
      <w:r>
        <w:instrText xml:space="preserve"> PAGEREF _Toc201153311 \h </w:instrText>
      </w:r>
      <w:r>
        <w:fldChar w:fldCharType="separate"/>
      </w:r>
      <w:r>
        <w:t>22</w:t>
      </w:r>
      <w:r>
        <w:fldChar w:fldCharType="end"/>
      </w:r>
    </w:p>
    <w:p w14:paraId="12CCA918" w14:textId="40CD7B8D" w:rsidR="001A564F" w:rsidRDefault="001A564F">
      <w:pPr>
        <w:pStyle w:val="TM1"/>
        <w:rPr>
          <w:rFonts w:asciiTheme="minorHAnsi" w:eastAsiaTheme="minorEastAsia" w:hAnsiTheme="minorHAnsi" w:cstheme="minorBidi"/>
          <w:color w:val="auto"/>
        </w:rPr>
      </w:pPr>
      <w:r w:rsidRPr="007B7778">
        <w:t>8</w:t>
      </w:r>
      <w:r>
        <w:rPr>
          <w:rFonts w:asciiTheme="minorHAnsi" w:eastAsiaTheme="minorEastAsia" w:hAnsiTheme="minorHAnsi" w:cstheme="minorBidi"/>
          <w:color w:val="auto"/>
        </w:rPr>
        <w:tab/>
      </w:r>
      <w:r>
        <w:t>REGLEMENTATIONS, NORMES, RECOMMANDATIONS</w:t>
      </w:r>
      <w:r>
        <w:tab/>
      </w:r>
      <w:r>
        <w:fldChar w:fldCharType="begin"/>
      </w:r>
      <w:r>
        <w:instrText xml:space="preserve"> PAGEREF _Toc201153312 \h </w:instrText>
      </w:r>
      <w:r>
        <w:fldChar w:fldCharType="separate"/>
      </w:r>
      <w:r>
        <w:t>22</w:t>
      </w:r>
      <w:r>
        <w:fldChar w:fldCharType="end"/>
      </w:r>
    </w:p>
    <w:p w14:paraId="507FBD1B" w14:textId="491A8FAF" w:rsidR="001A564F" w:rsidRDefault="001A564F">
      <w:pPr>
        <w:pStyle w:val="TM2"/>
        <w:rPr>
          <w:rFonts w:asciiTheme="minorHAnsi" w:eastAsiaTheme="minorEastAsia" w:hAnsiTheme="minorHAnsi" w:cstheme="minorBidi"/>
          <w:color w:val="auto"/>
          <w:sz w:val="22"/>
          <w:szCs w:val="22"/>
        </w:rPr>
      </w:pPr>
      <w:r w:rsidRPr="007B7778">
        <w:t>8.1</w:t>
      </w:r>
      <w:r>
        <w:rPr>
          <w:rFonts w:asciiTheme="minorHAnsi" w:eastAsiaTheme="minorEastAsia" w:hAnsiTheme="minorHAnsi" w:cstheme="minorBidi"/>
          <w:color w:val="auto"/>
          <w:sz w:val="22"/>
          <w:szCs w:val="22"/>
        </w:rPr>
        <w:tab/>
      </w:r>
      <w:r>
        <w:t>Standards de LA POSTE</w:t>
      </w:r>
      <w:r>
        <w:tab/>
      </w:r>
      <w:r>
        <w:fldChar w:fldCharType="begin"/>
      </w:r>
      <w:r>
        <w:instrText xml:space="preserve"> PAGEREF _Toc201153313 \h </w:instrText>
      </w:r>
      <w:r>
        <w:fldChar w:fldCharType="separate"/>
      </w:r>
      <w:r>
        <w:t>22</w:t>
      </w:r>
      <w:r>
        <w:fldChar w:fldCharType="end"/>
      </w:r>
    </w:p>
    <w:p w14:paraId="4F86A846" w14:textId="2754E04C" w:rsidR="001A564F" w:rsidRDefault="001A564F">
      <w:pPr>
        <w:pStyle w:val="TM2"/>
        <w:rPr>
          <w:rFonts w:asciiTheme="minorHAnsi" w:eastAsiaTheme="minorEastAsia" w:hAnsiTheme="minorHAnsi" w:cstheme="minorBidi"/>
          <w:color w:val="auto"/>
          <w:sz w:val="22"/>
          <w:szCs w:val="22"/>
        </w:rPr>
      </w:pPr>
      <w:r w:rsidRPr="007B7778">
        <w:t>8.2</w:t>
      </w:r>
      <w:r>
        <w:rPr>
          <w:rFonts w:asciiTheme="minorHAnsi" w:eastAsiaTheme="minorEastAsia" w:hAnsiTheme="minorHAnsi" w:cstheme="minorBidi"/>
          <w:color w:val="auto"/>
          <w:sz w:val="22"/>
          <w:szCs w:val="22"/>
        </w:rPr>
        <w:tab/>
      </w:r>
      <w:r>
        <w:t>Développement durable</w:t>
      </w:r>
      <w:r>
        <w:tab/>
      </w:r>
      <w:r>
        <w:fldChar w:fldCharType="begin"/>
      </w:r>
      <w:r>
        <w:instrText xml:space="preserve"> PAGEREF _Toc201153314 \h </w:instrText>
      </w:r>
      <w:r>
        <w:fldChar w:fldCharType="separate"/>
      </w:r>
      <w:r>
        <w:t>23</w:t>
      </w:r>
      <w:r>
        <w:fldChar w:fldCharType="end"/>
      </w:r>
    </w:p>
    <w:p w14:paraId="7BF25BBE" w14:textId="45148310" w:rsidR="001A564F" w:rsidRDefault="001A564F">
      <w:pPr>
        <w:pStyle w:val="TM1"/>
        <w:rPr>
          <w:rFonts w:asciiTheme="minorHAnsi" w:eastAsiaTheme="minorEastAsia" w:hAnsiTheme="minorHAnsi" w:cstheme="minorBidi"/>
          <w:color w:val="auto"/>
        </w:rPr>
      </w:pPr>
      <w:r w:rsidRPr="007B7778">
        <w:t>9</w:t>
      </w:r>
      <w:r>
        <w:rPr>
          <w:rFonts w:asciiTheme="minorHAnsi" w:eastAsiaTheme="minorEastAsia" w:hAnsiTheme="minorHAnsi" w:cstheme="minorBidi"/>
          <w:color w:val="auto"/>
        </w:rPr>
        <w:tab/>
      </w:r>
      <w:r>
        <w:t>ANNEXES</w:t>
      </w:r>
      <w:r>
        <w:tab/>
      </w:r>
      <w:r>
        <w:fldChar w:fldCharType="begin"/>
      </w:r>
      <w:r>
        <w:instrText xml:space="preserve"> PAGEREF _Toc201153315 \h </w:instrText>
      </w:r>
      <w:r>
        <w:fldChar w:fldCharType="separate"/>
      </w:r>
      <w:r>
        <w:t>24</w:t>
      </w:r>
      <w:r>
        <w:fldChar w:fldCharType="end"/>
      </w:r>
    </w:p>
    <w:p w14:paraId="1BB691D2" w14:textId="31742A59" w:rsidR="001A564F" w:rsidRDefault="001A564F">
      <w:pPr>
        <w:pStyle w:val="TM2"/>
        <w:rPr>
          <w:rFonts w:asciiTheme="minorHAnsi" w:eastAsiaTheme="minorEastAsia" w:hAnsiTheme="minorHAnsi" w:cstheme="minorBidi"/>
          <w:color w:val="auto"/>
          <w:sz w:val="22"/>
          <w:szCs w:val="22"/>
        </w:rPr>
      </w:pPr>
      <w:r w:rsidRPr="007B7778">
        <w:t>9.1</w:t>
      </w:r>
      <w:r>
        <w:rPr>
          <w:rFonts w:asciiTheme="minorHAnsi" w:eastAsiaTheme="minorEastAsia" w:hAnsiTheme="minorHAnsi" w:cstheme="minorBidi"/>
          <w:color w:val="auto"/>
          <w:sz w:val="22"/>
          <w:szCs w:val="22"/>
        </w:rPr>
        <w:tab/>
      </w:r>
      <w:r>
        <w:t>Politique Générale de Sécurité de l'Information de l'AP-HP</w:t>
      </w:r>
      <w:r>
        <w:tab/>
      </w:r>
      <w:r>
        <w:fldChar w:fldCharType="begin"/>
      </w:r>
      <w:r>
        <w:instrText xml:space="preserve"> PAGEREF _Toc201153316 \h </w:instrText>
      </w:r>
      <w:r>
        <w:fldChar w:fldCharType="separate"/>
      </w:r>
      <w:r>
        <w:t>24</w:t>
      </w:r>
      <w:r>
        <w:fldChar w:fldCharType="end"/>
      </w:r>
    </w:p>
    <w:p w14:paraId="4604DA43" w14:textId="31770F2C" w:rsidR="001A564F" w:rsidRDefault="001A564F">
      <w:pPr>
        <w:pStyle w:val="TM2"/>
        <w:rPr>
          <w:rFonts w:asciiTheme="minorHAnsi" w:eastAsiaTheme="minorEastAsia" w:hAnsiTheme="minorHAnsi" w:cstheme="minorBidi"/>
          <w:color w:val="auto"/>
          <w:sz w:val="22"/>
          <w:szCs w:val="22"/>
        </w:rPr>
      </w:pPr>
      <w:r w:rsidRPr="007B7778">
        <w:t>9.2</w:t>
      </w:r>
      <w:r>
        <w:rPr>
          <w:rFonts w:asciiTheme="minorHAnsi" w:eastAsiaTheme="minorEastAsia" w:hAnsiTheme="minorHAnsi" w:cstheme="minorBidi"/>
          <w:color w:val="auto"/>
          <w:sz w:val="22"/>
          <w:szCs w:val="22"/>
        </w:rPr>
        <w:tab/>
      </w:r>
      <w:r>
        <w:t>Sécurité dans la relation avec les Fournisseurs</w:t>
      </w:r>
      <w:r>
        <w:tab/>
      </w:r>
      <w:r>
        <w:fldChar w:fldCharType="begin"/>
      </w:r>
      <w:r>
        <w:instrText xml:space="preserve"> PAGEREF _Toc201153317 \h </w:instrText>
      </w:r>
      <w:r>
        <w:fldChar w:fldCharType="separate"/>
      </w:r>
      <w:r>
        <w:t>24</w:t>
      </w:r>
      <w:r>
        <w:fldChar w:fldCharType="end"/>
      </w:r>
    </w:p>
    <w:p w14:paraId="4336264A" w14:textId="1BF6C93D" w:rsidR="001A564F" w:rsidRDefault="001A564F">
      <w:pPr>
        <w:pStyle w:val="TM2"/>
        <w:rPr>
          <w:rFonts w:asciiTheme="minorHAnsi" w:eastAsiaTheme="minorEastAsia" w:hAnsiTheme="minorHAnsi" w:cstheme="minorBidi"/>
          <w:color w:val="auto"/>
          <w:sz w:val="22"/>
          <w:szCs w:val="22"/>
        </w:rPr>
      </w:pPr>
      <w:r w:rsidRPr="007B7778">
        <w:t>9.3</w:t>
      </w:r>
      <w:r>
        <w:rPr>
          <w:rFonts w:asciiTheme="minorHAnsi" w:eastAsiaTheme="minorEastAsia" w:hAnsiTheme="minorHAnsi" w:cstheme="minorBidi"/>
          <w:color w:val="auto"/>
          <w:sz w:val="22"/>
          <w:szCs w:val="22"/>
        </w:rPr>
        <w:tab/>
      </w:r>
      <w:r>
        <w:t>Contrat d’interface éditique</w:t>
      </w:r>
      <w:r>
        <w:tab/>
      </w:r>
      <w:r>
        <w:fldChar w:fldCharType="begin"/>
      </w:r>
      <w:r>
        <w:instrText xml:space="preserve"> PAGEREF _Toc201153318 \h </w:instrText>
      </w:r>
      <w:r>
        <w:fldChar w:fldCharType="separate"/>
      </w:r>
      <w:r>
        <w:t>24</w:t>
      </w:r>
      <w:r>
        <w:fldChar w:fldCharType="end"/>
      </w:r>
    </w:p>
    <w:p w14:paraId="0F67B895" w14:textId="0C4E5556" w:rsidR="001A564F" w:rsidRDefault="001A564F">
      <w:pPr>
        <w:pStyle w:val="TM2"/>
        <w:rPr>
          <w:rFonts w:asciiTheme="minorHAnsi" w:eastAsiaTheme="minorEastAsia" w:hAnsiTheme="minorHAnsi" w:cstheme="minorBidi"/>
          <w:color w:val="auto"/>
          <w:sz w:val="22"/>
          <w:szCs w:val="22"/>
        </w:rPr>
      </w:pPr>
      <w:r w:rsidRPr="007B7778">
        <w:t>9.4</w:t>
      </w:r>
      <w:r>
        <w:rPr>
          <w:rFonts w:asciiTheme="minorHAnsi" w:eastAsiaTheme="minorEastAsia" w:hAnsiTheme="minorHAnsi" w:cstheme="minorBidi"/>
          <w:color w:val="auto"/>
          <w:sz w:val="22"/>
          <w:szCs w:val="22"/>
        </w:rPr>
        <w:tab/>
      </w:r>
      <w:r>
        <w:t>Documents Types</w:t>
      </w:r>
      <w:r>
        <w:tab/>
      </w:r>
      <w:r>
        <w:fldChar w:fldCharType="begin"/>
      </w:r>
      <w:r>
        <w:instrText xml:space="preserve"> PAGEREF _Toc201153319 \h </w:instrText>
      </w:r>
      <w:r>
        <w:fldChar w:fldCharType="separate"/>
      </w:r>
      <w:r>
        <w:t>24</w:t>
      </w:r>
      <w:r>
        <w:fldChar w:fldCharType="end"/>
      </w:r>
    </w:p>
    <w:p w14:paraId="1920DB7C" w14:textId="5C6DC2A2" w:rsidR="001A564F" w:rsidRDefault="001A564F">
      <w:pPr>
        <w:pStyle w:val="TM2"/>
        <w:rPr>
          <w:rFonts w:asciiTheme="minorHAnsi" w:eastAsiaTheme="minorEastAsia" w:hAnsiTheme="minorHAnsi" w:cstheme="minorBidi"/>
          <w:color w:val="auto"/>
          <w:sz w:val="22"/>
          <w:szCs w:val="22"/>
        </w:rPr>
      </w:pPr>
      <w:r w:rsidRPr="007B7778">
        <w:t>9.5</w:t>
      </w:r>
      <w:r>
        <w:rPr>
          <w:rFonts w:asciiTheme="minorHAnsi" w:eastAsiaTheme="minorEastAsia" w:hAnsiTheme="minorHAnsi" w:cstheme="minorBidi"/>
          <w:color w:val="auto"/>
          <w:sz w:val="22"/>
          <w:szCs w:val="22"/>
        </w:rPr>
        <w:tab/>
      </w:r>
      <w:r>
        <w:t>Guide pratique courrier</w:t>
      </w:r>
      <w:r>
        <w:tab/>
      </w:r>
      <w:r>
        <w:fldChar w:fldCharType="begin"/>
      </w:r>
      <w:r>
        <w:instrText xml:space="preserve"> PAGEREF _Toc201153320 \h </w:instrText>
      </w:r>
      <w:r>
        <w:fldChar w:fldCharType="separate"/>
      </w:r>
      <w:r>
        <w:t>24</w:t>
      </w:r>
      <w:r>
        <w:fldChar w:fldCharType="end"/>
      </w:r>
    </w:p>
    <w:p w14:paraId="2F75344D" w14:textId="1C90F619" w:rsidR="002142E3" w:rsidRDefault="002B0F1C" w:rsidP="00D82212">
      <w:pPr>
        <w:tabs>
          <w:tab w:val="right" w:leader="dot" w:pos="9639"/>
        </w:tabs>
        <w:rPr>
          <w:rFonts w:cs="Open Sans"/>
          <w:sz w:val="22"/>
          <w:szCs w:val="22"/>
        </w:rPr>
      </w:pPr>
      <w:r w:rsidRPr="00B41C5D">
        <w:rPr>
          <w:rFonts w:cs="Open Sans"/>
          <w:sz w:val="22"/>
          <w:szCs w:val="22"/>
          <w:highlight w:val="yellow"/>
        </w:rPr>
        <w:fldChar w:fldCharType="end"/>
      </w:r>
    </w:p>
    <w:p w14:paraId="1F9B4C59" w14:textId="4DBD3F87" w:rsidR="00F426CD" w:rsidRDefault="00F426CD" w:rsidP="00D82212">
      <w:pPr>
        <w:tabs>
          <w:tab w:val="right" w:leader="dot" w:pos="9639"/>
        </w:tabs>
        <w:rPr>
          <w:rFonts w:cs="Open Sans"/>
          <w:sz w:val="22"/>
          <w:szCs w:val="22"/>
        </w:rPr>
      </w:pPr>
    </w:p>
    <w:p w14:paraId="1B4666D6" w14:textId="658391B5" w:rsidR="002927E4" w:rsidRDefault="002927E4" w:rsidP="00EE4F34">
      <w:pPr>
        <w:pStyle w:val="Titre1"/>
        <w:pageBreakBefore/>
      </w:pPr>
      <w:bookmarkStart w:id="0" w:name="_Ref111569226"/>
      <w:bookmarkStart w:id="1" w:name="_Toc201153263"/>
      <w:r>
        <w:lastRenderedPageBreak/>
        <w:t>GLOSSAIRE</w:t>
      </w:r>
      <w:bookmarkEnd w:id="1"/>
    </w:p>
    <w:tbl>
      <w:tblPr>
        <w:tblStyle w:val="Tableauweb1"/>
        <w:tblW w:w="8923" w:type="dxa"/>
        <w:tblLayout w:type="fixed"/>
        <w:tblCellMar>
          <w:top w:w="28" w:type="dxa"/>
          <w:bottom w:w="28" w:type="dxa"/>
        </w:tblCellMar>
        <w:tblLook w:val="04A0" w:firstRow="1" w:lastRow="0" w:firstColumn="1" w:lastColumn="0" w:noHBand="0" w:noVBand="1"/>
      </w:tblPr>
      <w:tblGrid>
        <w:gridCol w:w="1693"/>
        <w:gridCol w:w="7230"/>
      </w:tblGrid>
      <w:tr w:rsidR="00816575" w:rsidRPr="0024508E" w14:paraId="37EC2545" w14:textId="77777777" w:rsidTr="00943D70">
        <w:trPr>
          <w:cnfStyle w:val="100000000000" w:firstRow="1" w:lastRow="0" w:firstColumn="0" w:lastColumn="0" w:oddVBand="0" w:evenVBand="0" w:oddHBand="0" w:evenHBand="0" w:firstRowFirstColumn="0" w:firstRowLastColumn="0" w:lastRowFirstColumn="0" w:lastRowLastColumn="0"/>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3F10F52F" w14:textId="77777777" w:rsidR="00816575" w:rsidRPr="009B610D" w:rsidRDefault="00816575" w:rsidP="00943D70">
            <w:pPr>
              <w:spacing w:after="0" w:line="240" w:lineRule="auto"/>
              <w:jc w:val="left"/>
            </w:pPr>
            <w:r w:rsidRPr="009B610D">
              <w:t>AGEPS</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89ADBBA" w14:textId="77777777" w:rsidR="00816575" w:rsidRPr="009B610D" w:rsidRDefault="00816575" w:rsidP="00943D70">
            <w:pPr>
              <w:spacing w:after="0" w:line="240" w:lineRule="auto"/>
              <w:jc w:val="left"/>
            </w:pPr>
            <w:r w:rsidRPr="009B610D">
              <w:t>Agence Générale des Equipements et Produits de Santé</w:t>
            </w:r>
          </w:p>
        </w:tc>
      </w:tr>
      <w:tr w:rsidR="00816575" w:rsidRPr="0024508E" w14:paraId="1618BE8E"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795E9278" w14:textId="77777777" w:rsidR="00816575" w:rsidRPr="0024508E" w:rsidRDefault="00816575" w:rsidP="00943D70">
            <w:pPr>
              <w:spacing w:after="0" w:line="240" w:lineRule="auto"/>
              <w:jc w:val="left"/>
            </w:pPr>
            <w:r w:rsidRPr="0024508E">
              <w:t>AP</w:t>
            </w:r>
            <w:r w:rsidRPr="0024508E">
              <w:noBreakHyphen/>
              <w:t>HP</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C25ED98" w14:textId="77777777" w:rsidR="00816575" w:rsidRPr="0024508E" w:rsidRDefault="00816575" w:rsidP="00943D70">
            <w:pPr>
              <w:spacing w:after="0" w:line="240" w:lineRule="auto"/>
              <w:jc w:val="left"/>
            </w:pPr>
            <w:r w:rsidRPr="0024508E">
              <w:t>Assistance Publique – Hôpitaux de paris</w:t>
            </w:r>
          </w:p>
        </w:tc>
      </w:tr>
      <w:tr w:rsidR="00816575" w:rsidRPr="00CD4937" w14:paraId="6A44620F"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4E531B5C" w14:textId="77777777" w:rsidR="00816575" w:rsidRPr="0024508E" w:rsidRDefault="00816575" w:rsidP="00943D70">
            <w:pPr>
              <w:spacing w:after="0" w:line="240" w:lineRule="auto"/>
              <w:jc w:val="left"/>
            </w:pPr>
            <w:r>
              <w:t>ASAP</w:t>
            </w:r>
          </w:p>
        </w:tc>
        <w:tc>
          <w:tcPr>
            <w:tcW w:w="7170" w:type="dxa"/>
            <w:tcBorders>
              <w:top w:val="outset" w:sz="6" w:space="0" w:color="auto"/>
              <w:left w:val="outset" w:sz="6" w:space="0" w:color="auto"/>
              <w:bottom w:val="outset" w:sz="6" w:space="0" w:color="auto"/>
              <w:right w:val="outset" w:sz="6" w:space="0" w:color="auto"/>
            </w:tcBorders>
            <w:vAlign w:val="center"/>
          </w:tcPr>
          <w:p w14:paraId="654D8717" w14:textId="77777777" w:rsidR="00816575" w:rsidRPr="0024508E" w:rsidRDefault="00816575" w:rsidP="00943D70">
            <w:pPr>
              <w:spacing w:after="0" w:line="240" w:lineRule="auto"/>
              <w:jc w:val="left"/>
            </w:pPr>
            <w:r>
              <w:t>Avis de somme à payer (facture)</w:t>
            </w:r>
          </w:p>
        </w:tc>
      </w:tr>
      <w:tr w:rsidR="00816575" w:rsidRPr="0024508E" w14:paraId="62116CFA"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5C72B815" w14:textId="77777777" w:rsidR="00816575" w:rsidRPr="0024508E" w:rsidRDefault="00816575" w:rsidP="00943D70">
            <w:pPr>
              <w:spacing w:after="0" w:line="240" w:lineRule="auto"/>
              <w:jc w:val="left"/>
            </w:pPr>
            <w:r w:rsidRPr="0024508E">
              <w:t>BPU</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80CE747" w14:textId="77777777" w:rsidR="00816575" w:rsidRPr="0024508E" w:rsidRDefault="00816575" w:rsidP="00943D70">
            <w:pPr>
              <w:spacing w:after="0" w:line="240" w:lineRule="auto"/>
              <w:jc w:val="left"/>
            </w:pPr>
            <w:r w:rsidRPr="0024508E">
              <w:t>Bordereau de Prix Unitaires (cf. CRF)</w:t>
            </w:r>
          </w:p>
        </w:tc>
      </w:tr>
      <w:tr w:rsidR="00816575" w:rsidRPr="00621732" w14:paraId="3B6A48E5"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4754B45B" w14:textId="77777777" w:rsidR="00816575" w:rsidRPr="00621732" w:rsidRDefault="00816575" w:rsidP="00943D70">
            <w:pPr>
              <w:spacing w:after="0" w:line="240" w:lineRule="auto"/>
              <w:jc w:val="left"/>
            </w:pPr>
            <w:r w:rsidRPr="00621732">
              <w:t>CCAP</w:t>
            </w:r>
          </w:p>
        </w:tc>
        <w:tc>
          <w:tcPr>
            <w:tcW w:w="7170" w:type="dxa"/>
            <w:tcBorders>
              <w:top w:val="outset" w:sz="6" w:space="0" w:color="auto"/>
              <w:left w:val="outset" w:sz="6" w:space="0" w:color="auto"/>
              <w:bottom w:val="outset" w:sz="6" w:space="0" w:color="auto"/>
              <w:right w:val="outset" w:sz="6" w:space="0" w:color="auto"/>
            </w:tcBorders>
            <w:vAlign w:val="center"/>
          </w:tcPr>
          <w:p w14:paraId="1797F3A2" w14:textId="77777777" w:rsidR="00816575" w:rsidRPr="00621732" w:rsidRDefault="00816575" w:rsidP="00943D70">
            <w:pPr>
              <w:spacing w:after="0" w:line="240" w:lineRule="auto"/>
              <w:jc w:val="left"/>
            </w:pPr>
            <w:r w:rsidRPr="00621732">
              <w:t>Cahier des clause</w:t>
            </w:r>
            <w:r>
              <w:t>s</w:t>
            </w:r>
            <w:r w:rsidRPr="00621732">
              <w:t xml:space="preserve"> administratives particulières</w:t>
            </w:r>
          </w:p>
        </w:tc>
      </w:tr>
      <w:tr w:rsidR="00816575" w:rsidRPr="0024508E" w14:paraId="17A1C6DF"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777B581F" w14:textId="77777777" w:rsidR="00816575" w:rsidRPr="0024508E" w:rsidRDefault="00816575" w:rsidP="00943D70">
            <w:pPr>
              <w:spacing w:after="0" w:line="240" w:lineRule="auto"/>
              <w:jc w:val="left"/>
            </w:pPr>
            <w:r w:rsidRPr="0024508E">
              <w:t>CCT</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1F0A2C8" w14:textId="09A97383" w:rsidR="00816575" w:rsidRPr="0024508E" w:rsidRDefault="00816575" w:rsidP="00943D70">
            <w:pPr>
              <w:spacing w:after="0" w:line="240" w:lineRule="auto"/>
              <w:jc w:val="left"/>
            </w:pPr>
            <w:r w:rsidRPr="0024508E">
              <w:t>Cadre de Cohérence Technique applicable à tous les projets des SI à l’AP</w:t>
            </w:r>
            <w:r w:rsidRPr="0024508E">
              <w:noBreakHyphen/>
              <w:t>HP</w:t>
            </w:r>
          </w:p>
        </w:tc>
      </w:tr>
      <w:tr w:rsidR="00816575" w:rsidRPr="00D04300" w14:paraId="44B41974"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34572849" w14:textId="77777777" w:rsidR="00816575" w:rsidRPr="00D04300" w:rsidRDefault="00816575" w:rsidP="00943D70">
            <w:pPr>
              <w:spacing w:after="0" w:line="240" w:lineRule="auto"/>
              <w:jc w:val="left"/>
            </w:pPr>
            <w:r w:rsidRPr="00D04300">
              <w:t>CCTP</w:t>
            </w:r>
          </w:p>
        </w:tc>
        <w:tc>
          <w:tcPr>
            <w:tcW w:w="7170" w:type="dxa"/>
            <w:tcBorders>
              <w:top w:val="outset" w:sz="6" w:space="0" w:color="auto"/>
              <w:left w:val="outset" w:sz="6" w:space="0" w:color="auto"/>
              <w:bottom w:val="outset" w:sz="6" w:space="0" w:color="auto"/>
              <w:right w:val="outset" w:sz="6" w:space="0" w:color="auto"/>
            </w:tcBorders>
            <w:vAlign w:val="center"/>
          </w:tcPr>
          <w:p w14:paraId="0EB1591B" w14:textId="77777777" w:rsidR="00816575" w:rsidRPr="00D04300" w:rsidRDefault="00816575" w:rsidP="00943D70">
            <w:pPr>
              <w:spacing w:after="0" w:line="240" w:lineRule="auto"/>
              <w:jc w:val="left"/>
            </w:pPr>
            <w:r w:rsidRPr="00D04300">
              <w:t>Cahier des Clauses Techniques Particulières, le présent document</w:t>
            </w:r>
          </w:p>
        </w:tc>
      </w:tr>
      <w:tr w:rsidR="00816575" w:rsidRPr="0024508E" w14:paraId="65474704"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4C415D44" w14:textId="77777777" w:rsidR="00816575" w:rsidRPr="0024508E" w:rsidRDefault="00816575" w:rsidP="00943D70">
            <w:pPr>
              <w:spacing w:after="0" w:line="240" w:lineRule="auto"/>
              <w:jc w:val="left"/>
              <w:rPr>
                <w:rFonts w:cs="Arial"/>
              </w:rPr>
            </w:pPr>
            <w:r w:rsidRPr="0024508E">
              <w:rPr>
                <w:rFonts w:cs="Arial"/>
              </w:rPr>
              <w:t>CHU</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2A3E9A6" w14:textId="77777777" w:rsidR="00816575" w:rsidRPr="0024508E" w:rsidRDefault="00816575" w:rsidP="00943D70">
            <w:pPr>
              <w:spacing w:after="0" w:line="240" w:lineRule="auto"/>
              <w:jc w:val="left"/>
              <w:rPr>
                <w:rFonts w:cs="Arial"/>
              </w:rPr>
            </w:pPr>
            <w:r w:rsidRPr="0024508E">
              <w:rPr>
                <w:rFonts w:cs="Arial"/>
              </w:rPr>
              <w:t>Centre Hospitalier Universitaire</w:t>
            </w:r>
          </w:p>
        </w:tc>
      </w:tr>
      <w:tr w:rsidR="00816575" w:rsidRPr="0024508E" w14:paraId="17DB967B"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7A7C49C1" w14:textId="77777777" w:rsidR="00816575" w:rsidRPr="0024508E" w:rsidRDefault="00816575" w:rsidP="00943D70">
            <w:pPr>
              <w:spacing w:after="0" w:line="240" w:lineRule="auto"/>
              <w:jc w:val="left"/>
              <w:rPr>
                <w:rFonts w:cs="Arial"/>
              </w:rPr>
            </w:pPr>
            <w:r w:rsidRPr="0024508E">
              <w:rPr>
                <w:rFonts w:cs="Arial"/>
              </w:rPr>
              <w:t>CRF</w:t>
            </w:r>
            <w:r>
              <w:rPr>
                <w:rFonts w:cs="Arial"/>
              </w:rPr>
              <w:t>,</w:t>
            </w:r>
            <w:r w:rsidRPr="0024508E">
              <w:rPr>
                <w:rFonts w:cs="Arial"/>
              </w:rPr>
              <w:t xml:space="preserve"> C</w:t>
            </w:r>
            <w:r>
              <w:rPr>
                <w:rFonts w:cs="Arial"/>
              </w:rPr>
              <w:t>D</w:t>
            </w:r>
            <w:r w:rsidRPr="0024508E">
              <w:rPr>
                <w:rFonts w:cs="Arial"/>
              </w:rPr>
              <w:t>RF</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D267823" w14:textId="77777777" w:rsidR="00816575" w:rsidRPr="0024508E" w:rsidRDefault="00816575" w:rsidP="00943D70">
            <w:pPr>
              <w:spacing w:after="0" w:line="240" w:lineRule="auto"/>
              <w:jc w:val="left"/>
              <w:rPr>
                <w:rFonts w:cs="Arial"/>
              </w:rPr>
            </w:pPr>
            <w:r w:rsidRPr="0024508E">
              <w:rPr>
                <w:rFonts w:cs="Arial"/>
              </w:rPr>
              <w:t>Cadre de réponse financier, constitue l’offre financière, dont le BPU</w:t>
            </w:r>
          </w:p>
        </w:tc>
      </w:tr>
      <w:tr w:rsidR="00816575" w:rsidRPr="0024508E" w14:paraId="20B397D0"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5E28B643" w14:textId="77777777" w:rsidR="00816575" w:rsidRPr="0024508E" w:rsidRDefault="00816575" w:rsidP="00943D70">
            <w:pPr>
              <w:spacing w:after="0" w:line="240" w:lineRule="auto"/>
              <w:jc w:val="left"/>
              <w:rPr>
                <w:rFonts w:cs="Arial"/>
              </w:rPr>
            </w:pPr>
            <w:r w:rsidRPr="0024508E">
              <w:rPr>
                <w:rFonts w:cs="Arial"/>
              </w:rPr>
              <w:t>CRT</w:t>
            </w:r>
            <w:r>
              <w:rPr>
                <w:rFonts w:cs="Arial"/>
              </w:rPr>
              <w:t>, CD</w:t>
            </w:r>
            <w:r w:rsidRPr="0024508E">
              <w:rPr>
                <w:rFonts w:cs="Arial"/>
              </w:rPr>
              <w:t>RT</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AE5106A" w14:textId="77777777" w:rsidR="00816575" w:rsidRPr="0024508E" w:rsidRDefault="00816575" w:rsidP="00943D70">
            <w:pPr>
              <w:spacing w:after="0" w:line="240" w:lineRule="auto"/>
              <w:jc w:val="left"/>
              <w:rPr>
                <w:rFonts w:cs="Arial"/>
              </w:rPr>
            </w:pPr>
            <w:r w:rsidRPr="0024508E">
              <w:rPr>
                <w:rFonts w:cs="Arial"/>
              </w:rPr>
              <w:t>Cadre de réponse technique, constitue l’offre technique</w:t>
            </w:r>
          </w:p>
        </w:tc>
      </w:tr>
      <w:tr w:rsidR="00816575" w:rsidRPr="0024508E" w14:paraId="13752BC8"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3E24D125" w14:textId="77777777" w:rsidR="00816575" w:rsidRPr="009B610D" w:rsidRDefault="00816575" w:rsidP="00943D70">
            <w:pPr>
              <w:spacing w:after="0" w:line="240" w:lineRule="auto"/>
              <w:jc w:val="left"/>
              <w:rPr>
                <w:rFonts w:cs="Arial"/>
              </w:rPr>
            </w:pPr>
            <w:r w:rsidRPr="009B610D">
              <w:rPr>
                <w:rFonts w:cs="Arial"/>
              </w:rPr>
              <w:t>DSN</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5784ED6" w14:textId="77777777" w:rsidR="00816575" w:rsidRPr="009B610D" w:rsidRDefault="00816575" w:rsidP="00943D70">
            <w:pPr>
              <w:spacing w:after="0" w:line="240" w:lineRule="auto"/>
              <w:jc w:val="left"/>
              <w:rPr>
                <w:rFonts w:cs="Arial"/>
              </w:rPr>
            </w:pPr>
            <w:r w:rsidRPr="009B610D">
              <w:rPr>
                <w:rFonts w:cs="Arial"/>
              </w:rPr>
              <w:t>Direction des Services Numériques, centrale, rattachée au Siège</w:t>
            </w:r>
          </w:p>
        </w:tc>
      </w:tr>
      <w:tr w:rsidR="00816575" w:rsidRPr="0024508E" w14:paraId="3D6212DA"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1CBCFBF8" w14:textId="77777777" w:rsidR="00816575" w:rsidRPr="0024508E" w:rsidRDefault="00816575" w:rsidP="00943D70">
            <w:pPr>
              <w:spacing w:after="0" w:line="240" w:lineRule="auto"/>
              <w:jc w:val="left"/>
              <w:rPr>
                <w:rFonts w:cs="Arial"/>
              </w:rPr>
            </w:pPr>
            <w:r w:rsidRPr="0024508E">
              <w:rPr>
                <w:rFonts w:cs="Arial"/>
              </w:rPr>
              <w:t>GH</w:t>
            </w:r>
            <w:r>
              <w:rPr>
                <w:rFonts w:cs="Arial"/>
              </w:rPr>
              <w:t>U</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91B0A2D" w14:textId="77777777" w:rsidR="00816575" w:rsidRPr="0024508E" w:rsidRDefault="00816575" w:rsidP="00943D70">
            <w:pPr>
              <w:spacing w:after="0" w:line="240" w:lineRule="auto"/>
              <w:jc w:val="left"/>
              <w:rPr>
                <w:rFonts w:cs="Arial"/>
              </w:rPr>
            </w:pPr>
            <w:r w:rsidRPr="0024508E">
              <w:rPr>
                <w:rFonts w:cs="Arial"/>
              </w:rPr>
              <w:t xml:space="preserve">Groupe </w:t>
            </w:r>
            <w:r w:rsidRPr="00E245F8">
              <w:rPr>
                <w:rFonts w:cs="Arial"/>
              </w:rPr>
              <w:t>hospitalo-universitaire</w:t>
            </w:r>
            <w:r>
              <w:rPr>
                <w:rFonts w:cs="Arial"/>
              </w:rPr>
              <w:t xml:space="preserve"> </w:t>
            </w:r>
            <w:r w:rsidRPr="0024508E">
              <w:rPr>
                <w:rFonts w:cs="Arial"/>
              </w:rPr>
              <w:t>de l’AP-HP</w:t>
            </w:r>
          </w:p>
        </w:tc>
      </w:tr>
      <w:tr w:rsidR="00816575" w:rsidRPr="0024508E" w14:paraId="389D6416"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7679F901" w14:textId="77777777" w:rsidR="00816575" w:rsidRPr="0024508E" w:rsidRDefault="00816575" w:rsidP="00943D70">
            <w:pPr>
              <w:spacing w:after="0" w:line="240" w:lineRule="auto"/>
              <w:jc w:val="left"/>
              <w:rPr>
                <w:rFonts w:cs="Arial"/>
              </w:rPr>
            </w:pPr>
            <w:r w:rsidRPr="0024508E">
              <w:rPr>
                <w:rFonts w:cs="Arial"/>
              </w:rPr>
              <w:t>MCO</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05283F7" w14:textId="77777777" w:rsidR="00816575" w:rsidRPr="0024508E" w:rsidRDefault="00816575" w:rsidP="00943D70">
            <w:pPr>
              <w:spacing w:after="0" w:line="240" w:lineRule="auto"/>
              <w:jc w:val="left"/>
              <w:rPr>
                <w:rFonts w:cs="Arial"/>
              </w:rPr>
            </w:pPr>
            <w:r w:rsidRPr="0024508E">
              <w:rPr>
                <w:rFonts w:cs="Arial"/>
              </w:rPr>
              <w:t>Maintien en conditions opérationnelles</w:t>
            </w:r>
          </w:p>
        </w:tc>
      </w:tr>
      <w:tr w:rsidR="00816575" w:rsidRPr="0024508E" w14:paraId="0B13A5D9"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0915732B" w14:textId="77777777" w:rsidR="00816575" w:rsidRPr="0024508E" w:rsidRDefault="00816575" w:rsidP="00943D70">
            <w:pPr>
              <w:spacing w:after="0" w:line="240" w:lineRule="auto"/>
              <w:jc w:val="left"/>
              <w:rPr>
                <w:rFonts w:cs="Arial"/>
              </w:rPr>
            </w:pPr>
            <w:r w:rsidRPr="0024508E">
              <w:rPr>
                <w:rFonts w:cs="Arial"/>
              </w:rPr>
              <w:t>MOA</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6EFDD90" w14:textId="77777777" w:rsidR="00816575" w:rsidRPr="0024508E" w:rsidRDefault="00816575" w:rsidP="00943D70">
            <w:pPr>
              <w:spacing w:after="0" w:line="240" w:lineRule="auto"/>
              <w:jc w:val="left"/>
              <w:rPr>
                <w:rFonts w:cs="Arial"/>
              </w:rPr>
            </w:pPr>
            <w:r w:rsidRPr="0024508E">
              <w:rPr>
                <w:rFonts w:cs="Arial"/>
              </w:rPr>
              <w:t>Maîtrise d’ouvrage</w:t>
            </w:r>
          </w:p>
        </w:tc>
      </w:tr>
      <w:tr w:rsidR="00816575" w:rsidRPr="0024508E" w14:paraId="43EEE886"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0BCE22B8" w14:textId="77777777" w:rsidR="00816575" w:rsidRPr="0024508E" w:rsidRDefault="00816575" w:rsidP="00943D70">
            <w:pPr>
              <w:spacing w:after="0" w:line="240" w:lineRule="auto"/>
              <w:jc w:val="left"/>
              <w:rPr>
                <w:rFonts w:cs="Arial"/>
              </w:rPr>
            </w:pPr>
            <w:r w:rsidRPr="0024508E">
              <w:rPr>
                <w:rFonts w:cs="Arial"/>
              </w:rPr>
              <w:t>MOE</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E1698C0" w14:textId="77777777" w:rsidR="00816575" w:rsidRPr="0024508E" w:rsidRDefault="00816575" w:rsidP="00943D70">
            <w:pPr>
              <w:spacing w:after="0" w:line="240" w:lineRule="auto"/>
              <w:jc w:val="left"/>
              <w:rPr>
                <w:rFonts w:cs="Arial"/>
              </w:rPr>
            </w:pPr>
            <w:r w:rsidRPr="0024508E">
              <w:rPr>
                <w:rFonts w:cs="Arial"/>
              </w:rPr>
              <w:t>Maîtrise d’œuvre</w:t>
            </w:r>
          </w:p>
        </w:tc>
      </w:tr>
      <w:tr w:rsidR="00816575" w:rsidRPr="0074259D" w14:paraId="237BABE2"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72BA8391" w14:textId="77777777" w:rsidR="00816575" w:rsidRPr="0024508E" w:rsidRDefault="00816575" w:rsidP="00943D70">
            <w:pPr>
              <w:spacing w:after="0" w:line="240" w:lineRule="auto"/>
              <w:jc w:val="left"/>
              <w:rPr>
                <w:rFonts w:cs="Arial"/>
              </w:rPr>
            </w:pPr>
            <w:r>
              <w:rPr>
                <w:rFonts w:cs="Arial"/>
              </w:rPr>
              <w:t>PAQ</w:t>
            </w:r>
          </w:p>
        </w:tc>
        <w:tc>
          <w:tcPr>
            <w:tcW w:w="7170" w:type="dxa"/>
            <w:tcBorders>
              <w:top w:val="outset" w:sz="6" w:space="0" w:color="auto"/>
              <w:left w:val="outset" w:sz="6" w:space="0" w:color="auto"/>
              <w:bottom w:val="outset" w:sz="6" w:space="0" w:color="auto"/>
              <w:right w:val="outset" w:sz="6" w:space="0" w:color="auto"/>
            </w:tcBorders>
            <w:vAlign w:val="center"/>
          </w:tcPr>
          <w:p w14:paraId="78565805" w14:textId="77777777" w:rsidR="00816575" w:rsidRPr="0024508E" w:rsidRDefault="00816575" w:rsidP="00943D70">
            <w:pPr>
              <w:spacing w:after="0" w:line="240" w:lineRule="auto"/>
              <w:jc w:val="left"/>
              <w:rPr>
                <w:rFonts w:cs="Arial"/>
              </w:rPr>
            </w:pPr>
            <w:r>
              <w:rPr>
                <w:rFonts w:cs="Arial"/>
              </w:rPr>
              <w:t>Plan d’assurance qualité</w:t>
            </w:r>
          </w:p>
        </w:tc>
      </w:tr>
      <w:tr w:rsidR="00816575" w:rsidRPr="00816575" w14:paraId="6F7664BD"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5A7DBE83" w14:textId="71D7166E" w:rsidR="00816575" w:rsidRPr="0024508E" w:rsidRDefault="00816575" w:rsidP="00943D70">
            <w:pPr>
              <w:spacing w:after="0" w:line="240" w:lineRule="auto"/>
              <w:jc w:val="left"/>
              <w:rPr>
                <w:rFonts w:cs="Arial"/>
              </w:rPr>
            </w:pPr>
            <w:r>
              <w:rPr>
                <w:rFonts w:cs="Arial"/>
              </w:rPr>
              <w:t>PGSI</w:t>
            </w:r>
          </w:p>
        </w:tc>
        <w:tc>
          <w:tcPr>
            <w:tcW w:w="7170" w:type="dxa"/>
            <w:tcBorders>
              <w:top w:val="outset" w:sz="6" w:space="0" w:color="auto"/>
              <w:left w:val="outset" w:sz="6" w:space="0" w:color="auto"/>
              <w:bottom w:val="outset" w:sz="6" w:space="0" w:color="auto"/>
              <w:right w:val="outset" w:sz="6" w:space="0" w:color="auto"/>
            </w:tcBorders>
            <w:vAlign w:val="center"/>
          </w:tcPr>
          <w:p w14:paraId="25029763" w14:textId="641A33F3" w:rsidR="00816575" w:rsidRPr="0024508E" w:rsidRDefault="00816575" w:rsidP="00816575">
            <w:pPr>
              <w:spacing w:after="0" w:line="240" w:lineRule="auto"/>
              <w:jc w:val="left"/>
              <w:rPr>
                <w:rFonts w:cs="Arial"/>
              </w:rPr>
            </w:pPr>
            <w:r w:rsidRPr="00816575">
              <w:rPr>
                <w:rFonts w:cs="Arial"/>
              </w:rPr>
              <w:t>Politique Générale de Sécurité de l’information de l’AP-HP</w:t>
            </w:r>
          </w:p>
        </w:tc>
      </w:tr>
      <w:tr w:rsidR="00816575" w:rsidRPr="000001DA" w14:paraId="244F7A5D"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2C039435" w14:textId="77777777" w:rsidR="00816575" w:rsidRDefault="00816575" w:rsidP="00943D70">
            <w:pPr>
              <w:spacing w:after="0" w:line="240" w:lineRule="auto"/>
              <w:jc w:val="left"/>
              <w:rPr>
                <w:rFonts w:cs="Arial"/>
              </w:rPr>
            </w:pPr>
            <w:r>
              <w:rPr>
                <w:rFonts w:cs="Arial"/>
              </w:rPr>
              <w:t>PND</w:t>
            </w:r>
          </w:p>
        </w:tc>
        <w:tc>
          <w:tcPr>
            <w:tcW w:w="7170" w:type="dxa"/>
            <w:tcBorders>
              <w:top w:val="outset" w:sz="6" w:space="0" w:color="auto"/>
              <w:left w:val="outset" w:sz="6" w:space="0" w:color="auto"/>
              <w:bottom w:val="outset" w:sz="6" w:space="0" w:color="auto"/>
              <w:right w:val="outset" w:sz="6" w:space="0" w:color="auto"/>
            </w:tcBorders>
            <w:vAlign w:val="center"/>
          </w:tcPr>
          <w:p w14:paraId="20597E50" w14:textId="77777777" w:rsidR="00816575" w:rsidRPr="0042498A" w:rsidRDefault="00816575" w:rsidP="00943D70">
            <w:pPr>
              <w:spacing w:after="0" w:line="240" w:lineRule="auto"/>
              <w:jc w:val="left"/>
              <w:rPr>
                <w:rFonts w:cs="Arial"/>
              </w:rPr>
            </w:pPr>
            <w:r w:rsidRPr="000001DA">
              <w:rPr>
                <w:rFonts w:cs="Arial"/>
              </w:rPr>
              <w:t>Pli Non Distribué</w:t>
            </w:r>
          </w:p>
        </w:tc>
      </w:tr>
      <w:tr w:rsidR="00816575" w:rsidRPr="003E1099" w14:paraId="5ABFC357"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1630832F" w14:textId="77777777" w:rsidR="00816575" w:rsidRDefault="00816575" w:rsidP="00943D70">
            <w:pPr>
              <w:spacing w:after="0" w:line="240" w:lineRule="auto"/>
              <w:jc w:val="left"/>
              <w:rPr>
                <w:rFonts w:cs="Arial"/>
              </w:rPr>
            </w:pPr>
            <w:r>
              <w:rPr>
                <w:rFonts w:cs="Arial"/>
              </w:rPr>
              <w:t>PRA/PCA</w:t>
            </w:r>
          </w:p>
        </w:tc>
        <w:tc>
          <w:tcPr>
            <w:tcW w:w="7170" w:type="dxa"/>
            <w:tcBorders>
              <w:top w:val="outset" w:sz="6" w:space="0" w:color="auto"/>
              <w:left w:val="outset" w:sz="6" w:space="0" w:color="auto"/>
              <w:bottom w:val="outset" w:sz="6" w:space="0" w:color="auto"/>
              <w:right w:val="outset" w:sz="6" w:space="0" w:color="auto"/>
            </w:tcBorders>
            <w:vAlign w:val="center"/>
          </w:tcPr>
          <w:p w14:paraId="5E255F24" w14:textId="77777777" w:rsidR="00816575" w:rsidRDefault="00816575" w:rsidP="00943D70">
            <w:pPr>
              <w:spacing w:after="0" w:line="240" w:lineRule="auto"/>
              <w:jc w:val="left"/>
              <w:rPr>
                <w:rFonts w:cs="Arial"/>
              </w:rPr>
            </w:pPr>
            <w:r>
              <w:rPr>
                <w:rFonts w:cs="Arial"/>
              </w:rPr>
              <w:t>Plan de reprise ou de continuité d’activité</w:t>
            </w:r>
          </w:p>
        </w:tc>
      </w:tr>
      <w:tr w:rsidR="00816575" w:rsidRPr="0024508E" w14:paraId="02C6910C"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hideMark/>
          </w:tcPr>
          <w:p w14:paraId="09B5C397" w14:textId="77777777" w:rsidR="00816575" w:rsidRPr="0024508E" w:rsidRDefault="00816575" w:rsidP="00943D70">
            <w:pPr>
              <w:spacing w:after="0" w:line="240" w:lineRule="auto"/>
              <w:jc w:val="left"/>
              <w:rPr>
                <w:rFonts w:cs="Arial"/>
              </w:rPr>
            </w:pPr>
            <w:r w:rsidRPr="0024508E">
              <w:rPr>
                <w:rFonts w:cs="Arial"/>
              </w:rPr>
              <w:t>PV</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D1D2950" w14:textId="77777777" w:rsidR="00816575" w:rsidRPr="0024508E" w:rsidRDefault="00816575" w:rsidP="00943D70">
            <w:pPr>
              <w:spacing w:after="0" w:line="240" w:lineRule="auto"/>
              <w:jc w:val="left"/>
              <w:rPr>
                <w:rFonts w:cs="Arial"/>
              </w:rPr>
            </w:pPr>
            <w:r w:rsidRPr="0024508E">
              <w:rPr>
                <w:rFonts w:cs="Arial"/>
              </w:rPr>
              <w:t>Procès-verbal</w:t>
            </w:r>
          </w:p>
        </w:tc>
      </w:tr>
      <w:tr w:rsidR="00816575" w:rsidRPr="00E245F8" w14:paraId="7BBD4221" w14:textId="77777777" w:rsidTr="00943D70">
        <w:trPr>
          <w:cantSplit/>
        </w:trPr>
        <w:tc>
          <w:tcPr>
            <w:tcW w:w="1633" w:type="dxa"/>
            <w:tcBorders>
              <w:top w:val="outset" w:sz="6" w:space="0" w:color="auto"/>
              <w:left w:val="outset" w:sz="6" w:space="0" w:color="auto"/>
              <w:bottom w:val="outset" w:sz="6" w:space="0" w:color="auto"/>
              <w:right w:val="outset" w:sz="6" w:space="0" w:color="auto"/>
            </w:tcBorders>
            <w:vAlign w:val="center"/>
          </w:tcPr>
          <w:p w14:paraId="16B72891" w14:textId="77777777" w:rsidR="00816575" w:rsidRPr="00E245F8" w:rsidRDefault="00816575" w:rsidP="00943D70">
            <w:pPr>
              <w:spacing w:after="0" w:line="240" w:lineRule="auto"/>
              <w:jc w:val="left"/>
              <w:rPr>
                <w:rFonts w:cs="Arial"/>
              </w:rPr>
            </w:pPr>
            <w:r w:rsidRPr="00E245F8">
              <w:rPr>
                <w:rFonts w:cs="Arial"/>
              </w:rPr>
              <w:t>SAP</w:t>
            </w:r>
          </w:p>
        </w:tc>
        <w:tc>
          <w:tcPr>
            <w:tcW w:w="7170" w:type="dxa"/>
            <w:tcBorders>
              <w:top w:val="outset" w:sz="6" w:space="0" w:color="auto"/>
              <w:left w:val="outset" w:sz="6" w:space="0" w:color="auto"/>
              <w:bottom w:val="outset" w:sz="6" w:space="0" w:color="auto"/>
              <w:right w:val="outset" w:sz="6" w:space="0" w:color="auto"/>
            </w:tcBorders>
            <w:vAlign w:val="center"/>
          </w:tcPr>
          <w:p w14:paraId="0B9C06CB" w14:textId="77777777" w:rsidR="00816575" w:rsidRPr="00E245F8" w:rsidRDefault="00816575" w:rsidP="00943D70">
            <w:pPr>
              <w:spacing w:after="0" w:line="240" w:lineRule="auto"/>
              <w:jc w:val="left"/>
              <w:rPr>
                <w:rFonts w:cs="Arial"/>
              </w:rPr>
            </w:pPr>
            <w:r w:rsidRPr="00E245F8">
              <w:rPr>
                <w:rFonts w:cs="Arial"/>
              </w:rPr>
              <w:t>Siège de l’AP-HP</w:t>
            </w:r>
          </w:p>
        </w:tc>
      </w:tr>
      <w:tr w:rsidR="00816575" w:rsidRPr="0024508E" w14:paraId="47ACC4BC" w14:textId="77777777" w:rsidTr="00943D70">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5488A746" w14:textId="77777777" w:rsidR="00816575" w:rsidRPr="0024508E" w:rsidRDefault="00816575" w:rsidP="00943D70">
            <w:pPr>
              <w:spacing w:after="0" w:line="240" w:lineRule="auto"/>
              <w:jc w:val="left"/>
              <w:rPr>
                <w:rFonts w:cs="Arial"/>
              </w:rPr>
            </w:pPr>
            <w:r w:rsidRPr="0024508E">
              <w:rPr>
                <w:rFonts w:cs="Arial"/>
              </w:rPr>
              <w:t>SI</w:t>
            </w:r>
            <w:r>
              <w:rPr>
                <w:rFonts w:cs="Arial"/>
              </w:rPr>
              <w:t xml:space="preserve"> ou SIAP</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98613A8" w14:textId="77777777" w:rsidR="00816575" w:rsidRPr="0024508E" w:rsidRDefault="00816575" w:rsidP="00943D70">
            <w:pPr>
              <w:spacing w:after="0" w:line="240" w:lineRule="auto"/>
              <w:jc w:val="left"/>
              <w:rPr>
                <w:rFonts w:cs="Arial"/>
              </w:rPr>
            </w:pPr>
            <w:r w:rsidRPr="0024508E">
              <w:rPr>
                <w:rFonts w:cs="Arial"/>
              </w:rPr>
              <w:t>Système d’Information</w:t>
            </w:r>
            <w:r>
              <w:rPr>
                <w:rFonts w:cs="Arial"/>
              </w:rPr>
              <w:t>, de l’AP-HP</w:t>
            </w:r>
          </w:p>
        </w:tc>
      </w:tr>
      <w:tr w:rsidR="00816575" w:rsidRPr="0024508E" w14:paraId="3B427891" w14:textId="77777777" w:rsidTr="00943D70">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4669AAEA" w14:textId="77777777" w:rsidR="00816575" w:rsidRPr="0024508E" w:rsidRDefault="00816575" w:rsidP="00943D70">
            <w:pPr>
              <w:spacing w:after="0" w:line="240" w:lineRule="auto"/>
              <w:jc w:val="left"/>
              <w:rPr>
                <w:rFonts w:cs="Arial"/>
              </w:rPr>
            </w:pPr>
            <w:r w:rsidRPr="0024508E">
              <w:rPr>
                <w:rFonts w:cs="Arial"/>
              </w:rPr>
              <w:t>UO</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ECEB6AA" w14:textId="77777777" w:rsidR="00816575" w:rsidRPr="0024508E" w:rsidRDefault="00816575" w:rsidP="00943D70">
            <w:pPr>
              <w:spacing w:after="0" w:line="240" w:lineRule="auto"/>
              <w:jc w:val="left"/>
              <w:rPr>
                <w:rFonts w:cs="Arial"/>
              </w:rPr>
            </w:pPr>
            <w:r w:rsidRPr="0024508E">
              <w:rPr>
                <w:rFonts w:cs="Arial"/>
              </w:rPr>
              <w:t>Unité d’œuvre (de prestations de services)</w:t>
            </w:r>
          </w:p>
        </w:tc>
      </w:tr>
      <w:tr w:rsidR="00816575" w:rsidRPr="0024508E" w14:paraId="670D1E72" w14:textId="77777777" w:rsidTr="00943D70">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0018203B" w14:textId="77777777" w:rsidR="00816575" w:rsidRPr="0024508E" w:rsidRDefault="00816575" w:rsidP="00943D70">
            <w:pPr>
              <w:spacing w:after="0" w:line="240" w:lineRule="auto"/>
              <w:jc w:val="left"/>
              <w:rPr>
                <w:rFonts w:cs="Arial"/>
              </w:rPr>
            </w:pPr>
            <w:r w:rsidRPr="0024508E">
              <w:rPr>
                <w:rFonts w:cs="Arial"/>
              </w:rPr>
              <w:t>VA</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8992AD6" w14:textId="77777777" w:rsidR="00816575" w:rsidRPr="0024508E" w:rsidRDefault="00816575" w:rsidP="00943D70">
            <w:pPr>
              <w:spacing w:after="0" w:line="240" w:lineRule="auto"/>
              <w:jc w:val="left"/>
              <w:rPr>
                <w:rFonts w:cs="Arial"/>
              </w:rPr>
            </w:pPr>
            <w:r w:rsidRPr="0024508E">
              <w:rPr>
                <w:rFonts w:cs="Arial"/>
              </w:rPr>
              <w:t>Vérification d’Aptitude</w:t>
            </w:r>
          </w:p>
        </w:tc>
      </w:tr>
      <w:tr w:rsidR="00816575" w:rsidRPr="0024508E" w14:paraId="7EB286B9" w14:textId="77777777" w:rsidTr="00943D70">
        <w:trPr>
          <w:cantSplit/>
          <w:trHeight w:val="63"/>
        </w:trPr>
        <w:tc>
          <w:tcPr>
            <w:tcW w:w="1633" w:type="dxa"/>
            <w:tcBorders>
              <w:top w:val="outset" w:sz="6" w:space="0" w:color="auto"/>
              <w:left w:val="outset" w:sz="6" w:space="0" w:color="auto"/>
              <w:bottom w:val="outset" w:sz="6" w:space="0" w:color="auto"/>
              <w:right w:val="outset" w:sz="6" w:space="0" w:color="auto"/>
            </w:tcBorders>
            <w:vAlign w:val="center"/>
            <w:hideMark/>
          </w:tcPr>
          <w:p w14:paraId="7D55E68F" w14:textId="77777777" w:rsidR="00816575" w:rsidRPr="0024508E" w:rsidRDefault="00816575" w:rsidP="00943D70">
            <w:pPr>
              <w:spacing w:after="0" w:line="240" w:lineRule="auto"/>
              <w:jc w:val="left"/>
              <w:rPr>
                <w:rFonts w:cs="Arial"/>
              </w:rPr>
            </w:pPr>
            <w:r w:rsidRPr="0024508E">
              <w:rPr>
                <w:rFonts w:cs="Arial"/>
              </w:rPr>
              <w:t>VSR</w:t>
            </w:r>
          </w:p>
        </w:tc>
        <w:tc>
          <w:tcPr>
            <w:tcW w:w="7170" w:type="dxa"/>
            <w:tcBorders>
              <w:top w:val="outset" w:sz="6" w:space="0" w:color="auto"/>
              <w:left w:val="outset" w:sz="6" w:space="0" w:color="auto"/>
              <w:bottom w:val="outset" w:sz="6" w:space="0" w:color="auto"/>
              <w:right w:val="outset" w:sz="6" w:space="0" w:color="auto"/>
            </w:tcBorders>
            <w:vAlign w:val="center"/>
            <w:hideMark/>
          </w:tcPr>
          <w:p w14:paraId="637AF269" w14:textId="77777777" w:rsidR="00816575" w:rsidRPr="0024508E" w:rsidRDefault="00816575" w:rsidP="00943D70">
            <w:pPr>
              <w:spacing w:after="0" w:line="240" w:lineRule="auto"/>
              <w:jc w:val="left"/>
              <w:rPr>
                <w:rFonts w:cs="Arial"/>
              </w:rPr>
            </w:pPr>
            <w:r w:rsidRPr="0024508E">
              <w:rPr>
                <w:rFonts w:cs="Arial"/>
              </w:rPr>
              <w:t>Vérification de Service Régulier</w:t>
            </w:r>
          </w:p>
        </w:tc>
      </w:tr>
    </w:tbl>
    <w:p w14:paraId="0379B1C3" w14:textId="77777777" w:rsidR="00816575" w:rsidRPr="00816575" w:rsidRDefault="00816575" w:rsidP="00816575">
      <w:pPr>
        <w:pStyle w:val="Corpsdetexte"/>
      </w:pPr>
    </w:p>
    <w:p w14:paraId="28188418" w14:textId="71811CEC" w:rsidR="002927E4" w:rsidRDefault="002927E4" w:rsidP="00B73573">
      <w:pPr>
        <w:pStyle w:val="Titre1"/>
        <w:pageBreakBefore/>
      </w:pPr>
      <w:bookmarkStart w:id="2" w:name="_Toc142665141"/>
      <w:bookmarkStart w:id="3" w:name="_Toc201153264"/>
      <w:r w:rsidRPr="00DC7BB9">
        <w:lastRenderedPageBreak/>
        <w:t>OBJET</w:t>
      </w:r>
      <w:bookmarkEnd w:id="2"/>
      <w:bookmarkEnd w:id="3"/>
    </w:p>
    <w:p w14:paraId="20F9E73D" w14:textId="27928C8A" w:rsidR="00B73573" w:rsidRPr="001712A6" w:rsidRDefault="00B73573" w:rsidP="001712A6">
      <w:pPr>
        <w:pStyle w:val="Corpsdetexte"/>
      </w:pPr>
      <w:r w:rsidRPr="001712A6">
        <w:t xml:space="preserve">Le marché a pour objet la fourniture de services éditiques externalisés, ainsi que des fournitures et </w:t>
      </w:r>
      <w:r w:rsidR="0049553A">
        <w:t xml:space="preserve">des </w:t>
      </w:r>
      <w:r w:rsidRPr="001712A6">
        <w:t>prestations de services associées, pour l’ensemble de l’Assistance Publique-Hôpitaux de Paris.</w:t>
      </w:r>
    </w:p>
    <w:p w14:paraId="2E28CC74" w14:textId="41EE5821" w:rsidR="00B73573" w:rsidRDefault="00B73573" w:rsidP="00B73573">
      <w:pPr>
        <w:pStyle w:val="Corpsdetexte"/>
      </w:pPr>
      <w:r>
        <w:t>L’AP-HP fait appel à un Centre de Services Editiques hors de ses locaux, la « centrale éditique externalisée » du Titulaire.</w:t>
      </w:r>
    </w:p>
    <w:p w14:paraId="57086156" w14:textId="6FCAEC15" w:rsidR="00B73573" w:rsidRPr="00B41C5D" w:rsidRDefault="00B73573" w:rsidP="00B73573">
      <w:pPr>
        <w:pStyle w:val="Corpsdetexte"/>
        <w:rPr>
          <w:rFonts w:cs="Open Sans"/>
        </w:rPr>
      </w:pPr>
      <w:r>
        <w:t xml:space="preserve">Le Centre de Services Editiques prend en charge et assure la production éditique de l’ensemble des courriers sortant de l’AP-HP : il reçoit électroniquement les courriers envoyés depuis les canaux informatiques mis en œuvre pour communiquer des flux avec l’AP-HP, les imprime, les met sous pli </w:t>
      </w:r>
      <w:r w:rsidRPr="00B41C5D">
        <w:rPr>
          <w:rFonts w:cs="Open Sans"/>
        </w:rPr>
        <w:t>et les affranchi</w:t>
      </w:r>
      <w:r w:rsidR="0049553A">
        <w:rPr>
          <w:rFonts w:cs="Open Sans"/>
        </w:rPr>
        <w:t>t</w:t>
      </w:r>
      <w:r w:rsidRPr="00B41C5D">
        <w:rPr>
          <w:rFonts w:cs="Open Sans"/>
        </w:rPr>
        <w:t xml:space="preserve"> avant de les remettre en poste.</w:t>
      </w:r>
    </w:p>
    <w:p w14:paraId="2A2D035A" w14:textId="2A0CE2E6" w:rsidR="00B73573" w:rsidRPr="00B41C5D" w:rsidRDefault="00B73573" w:rsidP="00B73573">
      <w:pPr>
        <w:pStyle w:val="ttedeliste"/>
        <w:rPr>
          <w:rFonts w:ascii="Open Sans" w:hAnsi="Open Sans" w:cs="Open Sans"/>
        </w:rPr>
      </w:pPr>
      <w:r w:rsidRPr="00B41C5D">
        <w:rPr>
          <w:rFonts w:ascii="Open Sans" w:hAnsi="Open Sans" w:cs="Open Sans"/>
        </w:rPr>
        <w:t>Le Titulaire doit faire en sorte que le Centre de Services Editiques trouve un équilibre de fonctionnement, en traitant un flux de courriers sortant</w:t>
      </w:r>
      <w:r w:rsidR="0049553A">
        <w:rPr>
          <w:rFonts w:ascii="Open Sans" w:hAnsi="Open Sans" w:cs="Open Sans"/>
        </w:rPr>
        <w:t>s</w:t>
      </w:r>
      <w:r w:rsidRPr="00B41C5D">
        <w:rPr>
          <w:rFonts w:ascii="Open Sans" w:hAnsi="Open Sans" w:cs="Open Sans"/>
        </w:rPr>
        <w:t xml:space="preserve"> en continu, ou au fil de l’eau, sans trop d’à-coups ou pics d’activité, avec des moyens et procédures garantissant :</w:t>
      </w:r>
    </w:p>
    <w:p w14:paraId="1BE66F56" w14:textId="77777777" w:rsidR="00B73573" w:rsidRPr="00B41C5D" w:rsidRDefault="00B73573" w:rsidP="00B73573">
      <w:pPr>
        <w:pStyle w:val="listesimple"/>
        <w:rPr>
          <w:rFonts w:ascii="Open Sans" w:hAnsi="Open Sans" w:cs="Open Sans"/>
        </w:rPr>
      </w:pPr>
      <w:proofErr w:type="gramStart"/>
      <w:r w:rsidRPr="00B41C5D">
        <w:rPr>
          <w:rFonts w:ascii="Open Sans" w:hAnsi="Open Sans" w:cs="Open Sans"/>
        </w:rPr>
        <w:t>un</w:t>
      </w:r>
      <w:proofErr w:type="gramEnd"/>
      <w:r w:rsidRPr="00B41C5D">
        <w:rPr>
          <w:rFonts w:ascii="Open Sans" w:hAnsi="Open Sans" w:cs="Open Sans"/>
        </w:rPr>
        <w:t xml:space="preserve"> service de qualité (tant en performances qu’en traçabilité),</w:t>
      </w:r>
    </w:p>
    <w:p w14:paraId="7249EF56" w14:textId="77777777" w:rsidR="00B73573" w:rsidRPr="00B41C5D" w:rsidRDefault="00B73573" w:rsidP="00B73573">
      <w:pPr>
        <w:pStyle w:val="listesimple"/>
        <w:rPr>
          <w:rFonts w:ascii="Open Sans" w:hAnsi="Open Sans" w:cs="Open Sans"/>
        </w:rPr>
      </w:pPr>
      <w:proofErr w:type="gramStart"/>
      <w:r w:rsidRPr="00B41C5D">
        <w:rPr>
          <w:rFonts w:ascii="Open Sans" w:hAnsi="Open Sans" w:cs="Open Sans"/>
        </w:rPr>
        <w:t>la</w:t>
      </w:r>
      <w:proofErr w:type="gramEnd"/>
      <w:r w:rsidRPr="00B41C5D">
        <w:rPr>
          <w:rFonts w:ascii="Open Sans" w:hAnsi="Open Sans" w:cs="Open Sans"/>
        </w:rPr>
        <w:t xml:space="preserve"> continuité du service,</w:t>
      </w:r>
    </w:p>
    <w:p w14:paraId="196F9FD2" w14:textId="77777777" w:rsidR="00B73573" w:rsidRPr="00B41C5D" w:rsidRDefault="00B73573" w:rsidP="00B73573">
      <w:pPr>
        <w:pStyle w:val="listesimple"/>
        <w:rPr>
          <w:rFonts w:ascii="Open Sans" w:hAnsi="Open Sans" w:cs="Open Sans"/>
        </w:rPr>
      </w:pPr>
      <w:proofErr w:type="gramStart"/>
      <w:r w:rsidRPr="00B41C5D">
        <w:rPr>
          <w:rFonts w:ascii="Open Sans" w:hAnsi="Open Sans" w:cs="Open Sans"/>
        </w:rPr>
        <w:t>la</w:t>
      </w:r>
      <w:proofErr w:type="gramEnd"/>
      <w:r w:rsidRPr="00B41C5D">
        <w:rPr>
          <w:rFonts w:ascii="Open Sans" w:hAnsi="Open Sans" w:cs="Open Sans"/>
        </w:rPr>
        <w:t xml:space="preserve"> confidentialité des données,</w:t>
      </w:r>
    </w:p>
    <w:p w14:paraId="6A52EC37" w14:textId="0A871C56" w:rsidR="00B73573" w:rsidRPr="00B41C5D" w:rsidRDefault="00B73573" w:rsidP="00F21C53">
      <w:pPr>
        <w:pStyle w:val="Findeliste"/>
        <w:rPr>
          <w:rFonts w:ascii="Open Sans" w:hAnsi="Open Sans" w:cs="Open Sans"/>
        </w:rPr>
      </w:pPr>
      <w:proofErr w:type="gramStart"/>
      <w:r w:rsidRPr="00B41C5D">
        <w:rPr>
          <w:rFonts w:ascii="Open Sans" w:hAnsi="Open Sans" w:cs="Open Sans"/>
        </w:rPr>
        <w:t>un</w:t>
      </w:r>
      <w:proofErr w:type="gramEnd"/>
      <w:r w:rsidRPr="00B41C5D">
        <w:rPr>
          <w:rFonts w:ascii="Open Sans" w:hAnsi="Open Sans" w:cs="Open Sans"/>
        </w:rPr>
        <w:t xml:space="preserve"> engagement concret de délai de remise en Poste ou </w:t>
      </w:r>
      <w:r w:rsidR="0049553A">
        <w:rPr>
          <w:rFonts w:ascii="Open Sans" w:hAnsi="Open Sans" w:cs="Open Sans"/>
        </w:rPr>
        <w:t xml:space="preserve">de </w:t>
      </w:r>
      <w:r w:rsidRPr="00B41C5D">
        <w:rPr>
          <w:rFonts w:ascii="Open Sans" w:hAnsi="Open Sans" w:cs="Open Sans"/>
        </w:rPr>
        <w:t>délivrance en interne AP-HP.</w:t>
      </w:r>
    </w:p>
    <w:p w14:paraId="108CAD69" w14:textId="300D33B9" w:rsidR="00E21BFF" w:rsidRDefault="00E21BFF" w:rsidP="00DC7BB9">
      <w:pPr>
        <w:pStyle w:val="Titre1"/>
      </w:pPr>
      <w:bookmarkStart w:id="4" w:name="_Toc142665142"/>
      <w:bookmarkStart w:id="5" w:name="_Toc201153265"/>
      <w:r w:rsidRPr="00DC7BB9">
        <w:t>CONTEXTE</w:t>
      </w:r>
      <w:bookmarkEnd w:id="4"/>
      <w:bookmarkEnd w:id="5"/>
    </w:p>
    <w:p w14:paraId="521C7163" w14:textId="5AB5EA8E" w:rsidR="009C438F" w:rsidRDefault="009C438F" w:rsidP="009C438F">
      <w:pPr>
        <w:pStyle w:val="Titre2"/>
      </w:pPr>
      <w:bookmarkStart w:id="6" w:name="_Toc142665143"/>
      <w:bookmarkStart w:id="7" w:name="_Toc201153266"/>
      <w:bookmarkEnd w:id="0"/>
      <w:r w:rsidRPr="00582A4C">
        <w:t>L'Assistance Publique - Hôpitaux de Paris</w:t>
      </w:r>
      <w:bookmarkEnd w:id="6"/>
      <w:bookmarkEnd w:id="7"/>
    </w:p>
    <w:p w14:paraId="7B698A77" w14:textId="42E9604A" w:rsidR="00452CB8" w:rsidRDefault="00BD1817" w:rsidP="008B2F5C">
      <w:pPr>
        <w:pStyle w:val="Corpsdetexte"/>
        <w:keepNext/>
      </w:pPr>
      <w:r w:rsidRPr="00BD1817">
        <w:t>L’AP-HP</w:t>
      </w:r>
      <w:r>
        <w:t>,</w:t>
      </w:r>
      <w:r w:rsidRPr="00BD1817">
        <w:t xml:space="preserve"> 1</w:t>
      </w:r>
      <w:r w:rsidRPr="00BD1817">
        <w:rPr>
          <w:vertAlign w:val="superscript"/>
        </w:rPr>
        <w:t>er</w:t>
      </w:r>
      <w:r w:rsidRPr="00BD1817">
        <w:t xml:space="preserve"> CHU d’Europe</w:t>
      </w:r>
      <w:r>
        <w:t>, en q</w:t>
      </w:r>
      <w:r w:rsidR="00452CB8" w:rsidRPr="00582A4C">
        <w:t>uelques chiffres</w:t>
      </w:r>
      <w:r w:rsidR="00593C93">
        <w:t xml:space="preserve"> </w:t>
      </w:r>
      <w:r w:rsidR="00593C93" w:rsidRPr="00582A4C">
        <w:t>(</w:t>
      </w:r>
      <w:r w:rsidR="00593C93">
        <w:t>s</w:t>
      </w:r>
      <w:r w:rsidR="00593C93" w:rsidRPr="00582A4C">
        <w:t>ource</w:t>
      </w:r>
      <w:r w:rsidR="00DC7BB9">
        <w:t xml:space="preserve"> rapport annuel 2023</w:t>
      </w:r>
      <w:r w:rsidR="00593C93" w:rsidRPr="00582A4C">
        <w:t>)</w:t>
      </w:r>
      <w:r>
        <w:t> :</w:t>
      </w:r>
    </w:p>
    <w:p w14:paraId="6BC7F9E7" w14:textId="15496C5E" w:rsidR="00DC7BB9" w:rsidRDefault="00BD1817" w:rsidP="00BC34D1">
      <w:pPr>
        <w:pStyle w:val="Listepuces"/>
      </w:pPr>
      <w:r>
        <w:t>U</w:t>
      </w:r>
      <w:r w:rsidR="00DC7BB9">
        <w:t>n service public de santé pour tous 24h/24</w:t>
      </w:r>
    </w:p>
    <w:p w14:paraId="2E6711D1" w14:textId="77777777" w:rsidR="00BD1817" w:rsidRDefault="00BD1817" w:rsidP="00BD1817">
      <w:pPr>
        <w:pStyle w:val="Listepuces"/>
      </w:pPr>
      <w:r>
        <w:t xml:space="preserve">Un CHU d’envergure : </w:t>
      </w:r>
    </w:p>
    <w:p w14:paraId="432341B0" w14:textId="2BCD9286" w:rsidR="00BD1817" w:rsidRDefault="00BD1817" w:rsidP="00995217">
      <w:pPr>
        <w:pStyle w:val="Listepuces"/>
        <w:numPr>
          <w:ilvl w:val="1"/>
          <w:numId w:val="7"/>
        </w:numPr>
      </w:pPr>
      <w:r>
        <w:t>38 hôpitaux et 6 groupes hospitalo-universitaires (GHU)</w:t>
      </w:r>
    </w:p>
    <w:p w14:paraId="06A28C72" w14:textId="6EDE1F5F" w:rsidR="00BD1817" w:rsidRDefault="00BD1817" w:rsidP="00995217">
      <w:pPr>
        <w:pStyle w:val="Listepuces"/>
        <w:numPr>
          <w:ilvl w:val="1"/>
          <w:numId w:val="7"/>
        </w:numPr>
      </w:pPr>
      <w:r>
        <w:t xml:space="preserve">80 départements médico-universitaires (DMU) </w:t>
      </w:r>
    </w:p>
    <w:p w14:paraId="24F298FA" w14:textId="57891682" w:rsidR="00BD1817" w:rsidRDefault="00BD1817" w:rsidP="00995217">
      <w:pPr>
        <w:pStyle w:val="Listepuces"/>
        <w:numPr>
          <w:ilvl w:val="1"/>
          <w:numId w:val="7"/>
        </w:numPr>
      </w:pPr>
      <w:r>
        <w:t xml:space="preserve">773 services </w:t>
      </w:r>
    </w:p>
    <w:p w14:paraId="2B42C3D1" w14:textId="694603D7" w:rsidR="00BD1817" w:rsidRDefault="00BD1817" w:rsidP="00995217">
      <w:pPr>
        <w:pStyle w:val="Listepuces"/>
        <w:numPr>
          <w:ilvl w:val="1"/>
          <w:numId w:val="7"/>
        </w:numPr>
      </w:pPr>
      <w:r>
        <w:t xml:space="preserve">18 000 lits toutes disciplines confondues ; 3 700 places d’hôpital de jour, dont 350 en chirurgie ambulatoire </w:t>
      </w:r>
    </w:p>
    <w:p w14:paraId="428D5DD4" w14:textId="23A8B4CE" w:rsidR="00BD1817" w:rsidRDefault="00BD1817" w:rsidP="00995217">
      <w:pPr>
        <w:pStyle w:val="Listepuces"/>
        <w:numPr>
          <w:ilvl w:val="1"/>
          <w:numId w:val="7"/>
        </w:numPr>
      </w:pPr>
      <w:r>
        <w:t>52 blocs chirurgicaux, soit 313 salles d’opération</w:t>
      </w:r>
    </w:p>
    <w:p w14:paraId="39F6F554" w14:textId="773F252C" w:rsidR="00BD1817" w:rsidRDefault="00BD1817" w:rsidP="00995217">
      <w:pPr>
        <w:pStyle w:val="Listepuces"/>
        <w:numPr>
          <w:ilvl w:val="1"/>
          <w:numId w:val="7"/>
        </w:numPr>
      </w:pPr>
      <w:r>
        <w:t xml:space="preserve">25 services d’urgences générales : 17 adultes et 8 enfants </w:t>
      </w:r>
    </w:p>
    <w:p w14:paraId="522E7B52" w14:textId="33646C62" w:rsidR="00BD1817" w:rsidRDefault="00BD1817" w:rsidP="00995217">
      <w:pPr>
        <w:pStyle w:val="Listepuces"/>
        <w:numPr>
          <w:ilvl w:val="1"/>
          <w:numId w:val="7"/>
        </w:numPr>
      </w:pPr>
      <w:r>
        <w:t xml:space="preserve">14 maternités </w:t>
      </w:r>
    </w:p>
    <w:p w14:paraId="5C3DD087" w14:textId="77777777" w:rsidR="00BD1817" w:rsidRDefault="00BD1817" w:rsidP="00BD1817">
      <w:pPr>
        <w:pStyle w:val="Listepuces"/>
      </w:pPr>
      <w:r>
        <w:t>Près de 8 millions de prises en charge</w:t>
      </w:r>
    </w:p>
    <w:p w14:paraId="224B3559" w14:textId="29556182" w:rsidR="00BD1817" w:rsidRDefault="00BD1817" w:rsidP="00BC34D1">
      <w:pPr>
        <w:pStyle w:val="Listepuces"/>
      </w:pPr>
      <w:r>
        <w:t xml:space="preserve">Près de 100 000 professionnels au service des patients </w:t>
      </w:r>
    </w:p>
    <w:p w14:paraId="3A4A5B11" w14:textId="77777777" w:rsidR="00BD1817" w:rsidRDefault="00BD1817" w:rsidP="00995217">
      <w:pPr>
        <w:pStyle w:val="Listepuces"/>
        <w:numPr>
          <w:ilvl w:val="1"/>
          <w:numId w:val="7"/>
        </w:numPr>
      </w:pPr>
      <w:r>
        <w:t xml:space="preserve">Le 1er employeur d’Île-de-France </w:t>
      </w:r>
    </w:p>
    <w:p w14:paraId="51947CCE" w14:textId="4FB6287B" w:rsidR="00BD1817" w:rsidRDefault="00BD1817" w:rsidP="00BD1817">
      <w:pPr>
        <w:pStyle w:val="Listepuces"/>
      </w:pPr>
      <w:r>
        <w:t>Un lieu de recherche d’excellence</w:t>
      </w:r>
    </w:p>
    <w:p w14:paraId="2C5F65A5" w14:textId="3742CA4C" w:rsidR="00BD1817" w:rsidRDefault="00BD1817" w:rsidP="00995217">
      <w:pPr>
        <w:pStyle w:val="Listepuces"/>
        <w:numPr>
          <w:ilvl w:val="1"/>
          <w:numId w:val="7"/>
        </w:numPr>
      </w:pPr>
      <w:r>
        <w:t>11 instituts hospitalo-universitaires (IHU), dont 3 dans lesquels l’AP-HP est partenaire</w:t>
      </w:r>
    </w:p>
    <w:p w14:paraId="5FFE67FA" w14:textId="5F3E0581" w:rsidR="00BD1817" w:rsidRDefault="00BD1817" w:rsidP="00995217">
      <w:pPr>
        <w:pStyle w:val="Listepuces"/>
        <w:numPr>
          <w:ilvl w:val="1"/>
          <w:numId w:val="7"/>
        </w:numPr>
      </w:pPr>
      <w:r>
        <w:t>23 programmes de recherche hospitalo-universitaires (RHU) actifs, dont 9 en coordination AP-HP</w:t>
      </w:r>
    </w:p>
    <w:p w14:paraId="3DE7C5B3" w14:textId="5B08BE30" w:rsidR="00BD1817" w:rsidRDefault="00BD1817" w:rsidP="00995217">
      <w:pPr>
        <w:pStyle w:val="Listepuces"/>
        <w:numPr>
          <w:ilvl w:val="1"/>
          <w:numId w:val="7"/>
        </w:numPr>
      </w:pPr>
      <w:r>
        <w:t xml:space="preserve">21 fédérations hospitalo-universitaires (FHU) </w:t>
      </w:r>
    </w:p>
    <w:p w14:paraId="0F4516EB" w14:textId="1443BE76" w:rsidR="00BD1817" w:rsidRDefault="00BD1817" w:rsidP="00995217">
      <w:pPr>
        <w:pStyle w:val="Listepuces"/>
        <w:numPr>
          <w:ilvl w:val="1"/>
          <w:numId w:val="7"/>
        </w:numPr>
      </w:pPr>
      <w:r>
        <w:t>4 sites de recherche intégrée en cancérologie (SIRIC), dont 1 pédiatrique</w:t>
      </w:r>
    </w:p>
    <w:p w14:paraId="10735304" w14:textId="064175D7" w:rsidR="00DC7BB9" w:rsidRDefault="00BD1817" w:rsidP="00995217">
      <w:pPr>
        <w:pStyle w:val="Listepuces"/>
        <w:numPr>
          <w:ilvl w:val="1"/>
          <w:numId w:val="7"/>
        </w:numPr>
      </w:pPr>
      <w:r>
        <w:t>181 centres de référence maladies rares</w:t>
      </w:r>
    </w:p>
    <w:p w14:paraId="277DF1AE" w14:textId="57B34110" w:rsidR="005E512E" w:rsidRDefault="00BD1817" w:rsidP="008B2F5C">
      <w:pPr>
        <w:jc w:val="center"/>
      </w:pPr>
      <w:r>
        <w:rPr>
          <w:noProof/>
        </w:rPr>
        <w:lastRenderedPageBreak/>
        <w:drawing>
          <wp:inline distT="0" distB="0" distL="0" distR="0" wp14:anchorId="12D3EB0A" wp14:editId="72417674">
            <wp:extent cx="5838414" cy="5638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HP carte GHU 2023.jpg"/>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903534" cy="5701694"/>
                    </a:xfrm>
                    <a:prstGeom prst="rect">
                      <a:avLst/>
                    </a:prstGeom>
                    <a:ln>
                      <a:noFill/>
                    </a:ln>
                    <a:extLst>
                      <a:ext uri="{53640926-AAD7-44D8-BBD7-CCE9431645EC}">
                        <a14:shadowObscured xmlns:a14="http://schemas.microsoft.com/office/drawing/2010/main"/>
                      </a:ext>
                    </a:extLst>
                  </pic:spPr>
                </pic:pic>
              </a:graphicData>
            </a:graphic>
          </wp:inline>
        </w:drawing>
      </w:r>
    </w:p>
    <w:p w14:paraId="58CBE997" w14:textId="0D2F8172" w:rsidR="00E21BFF" w:rsidRDefault="00E21BFF" w:rsidP="009C438F">
      <w:pPr>
        <w:pStyle w:val="Corpsdetexte"/>
      </w:pPr>
      <w:r w:rsidRPr="00E21BFF">
        <w:t xml:space="preserve">Pour plus de détails voire </w:t>
      </w:r>
      <w:r w:rsidR="001712A6">
        <w:t xml:space="preserve">le </w:t>
      </w:r>
      <w:r w:rsidR="00B4609C" w:rsidRPr="00B4609C">
        <w:t xml:space="preserve">site </w:t>
      </w:r>
      <w:hyperlink r:id="rId11" w:history="1">
        <w:r w:rsidR="00B4609C" w:rsidRPr="000609FD">
          <w:rPr>
            <w:rStyle w:val="Lienhypertexte"/>
          </w:rPr>
          <w:t>http://www.aphp.fr</w:t>
        </w:r>
      </w:hyperlink>
      <w:r w:rsidRPr="00E21BFF">
        <w:t>.</w:t>
      </w:r>
    </w:p>
    <w:p w14:paraId="6C40477F" w14:textId="77777777" w:rsidR="00DF73C4" w:rsidRDefault="00DF73C4" w:rsidP="00DF73C4">
      <w:pPr>
        <w:pStyle w:val="Titre2"/>
      </w:pPr>
      <w:bookmarkStart w:id="8" w:name="_Toc141100999"/>
      <w:bookmarkStart w:id="9" w:name="_Toc142665144"/>
      <w:bookmarkStart w:id="10" w:name="_Toc201153267"/>
      <w:r>
        <w:t>Sécurité des systèmes d’information</w:t>
      </w:r>
      <w:bookmarkEnd w:id="8"/>
      <w:bookmarkEnd w:id="9"/>
      <w:bookmarkEnd w:id="10"/>
    </w:p>
    <w:p w14:paraId="7903B42A" w14:textId="77777777" w:rsidR="00DF73C4" w:rsidRDefault="00DF73C4" w:rsidP="00DF73C4">
      <w:pPr>
        <w:pStyle w:val="Corpsdetexte"/>
      </w:pPr>
      <w:r>
        <w:t>Une charte, annexée au présent CCTP, s’applique à tous les titulaires de marché de l’AP-HP. Elle est intitulée « Sécurité dans la relation avec les Fournisseurs ».</w:t>
      </w:r>
    </w:p>
    <w:p w14:paraId="1E23B827" w14:textId="77777777" w:rsidR="00DF73C4" w:rsidRDefault="00DF73C4" w:rsidP="00DF73C4">
      <w:pPr>
        <w:pStyle w:val="Corpsdetexte"/>
      </w:pPr>
      <w:r>
        <w:t>Les règles qu’elle contient ont été établies en tenant compte de la Politique de Sécurité de l’AP-HP et sous l’autorité du Responsable de la Sécurité des Systèmes d’Information. Elle fait partie du référentiel de sécurité de l’AP-HP approuvé par la Direction Générale de l’établissement. Elle complète tout marché liant le titulaire d’un marché à l’AP-HP. Son respect constitue une obligation essentielle à la charge de tout titulaire d’un marché.</w:t>
      </w:r>
    </w:p>
    <w:p w14:paraId="5B5C849C" w14:textId="77777777" w:rsidR="00DF73C4" w:rsidRDefault="00DF73C4" w:rsidP="00DF73C4">
      <w:pPr>
        <w:pStyle w:val="Corpsdetexte"/>
      </w:pPr>
      <w:r>
        <w:t>La charte s’inscrit dans une démarche d’information, de sensibilisation et de responsabilisation des titulaires de marché afin de poser les règles d’accès et d’utilisation des Systèmes d’Information (SI) de l’AP-HP.</w:t>
      </w:r>
    </w:p>
    <w:p w14:paraId="075849B7" w14:textId="77777777" w:rsidR="00DF73C4" w:rsidRDefault="00DF73C4" w:rsidP="00DF73C4">
      <w:pPr>
        <w:pStyle w:val="Corpsdetexte"/>
      </w:pPr>
      <w:r>
        <w:t>Elle a pour objet de définir les conditions et modalités, que le titulaire de marché s’engage à respecter, afin d’assurer la sécurité des SI de l’AP-HP ainsi que de ses données. L’objectif consiste ainsi à éviter que les relations avec les titulaires de marché ne constituent une faille dans les règles de sécurité informatique définies par la Politique Générale de Sécurité du Système d’Information de l’AP-HP.</w:t>
      </w:r>
    </w:p>
    <w:p w14:paraId="61109A51" w14:textId="6846862A" w:rsidR="00DF73C4" w:rsidRDefault="00DF73C4" w:rsidP="00DF73C4">
      <w:pPr>
        <w:pStyle w:val="Corpsdetexte"/>
      </w:pPr>
      <w:r>
        <w:lastRenderedPageBreak/>
        <w:t>Le titulaire de marché est soumis à une obligation d’information, de conseil et de mise en garde auprès de l’AP-HP, incluant l’appréhension des risques de sécurité de l’information induits par la mise en œuvre de ses prestations.</w:t>
      </w:r>
    </w:p>
    <w:p w14:paraId="55664A2B" w14:textId="2A3DD65E" w:rsidR="0011470E" w:rsidRDefault="0011470E" w:rsidP="00985535">
      <w:pPr>
        <w:pStyle w:val="Corpsdetexte"/>
        <w:keepNext/>
      </w:pPr>
      <w:r>
        <w:t>La charte s’appuie sur deux autre</w:t>
      </w:r>
      <w:r w:rsidR="0093737A">
        <w:t>s</w:t>
      </w:r>
      <w:r>
        <w:t xml:space="preserve"> documents que le Fournisseur et ses sous-traitants ultérieurs sont tenus de respecter :</w:t>
      </w:r>
    </w:p>
    <w:p w14:paraId="15EBAB72" w14:textId="77777777" w:rsidR="00C91EB8" w:rsidRDefault="00C91EB8" w:rsidP="00C91EB8">
      <w:pPr>
        <w:pStyle w:val="Listepuces"/>
      </w:pPr>
      <w:r>
        <w:t>Charte du bon usage du système d’information de l’AP-HP</w:t>
      </w:r>
    </w:p>
    <w:p w14:paraId="4631A60D" w14:textId="528D2452" w:rsidR="00C91EB8" w:rsidRDefault="00C91EB8" w:rsidP="00C91EB8">
      <w:pPr>
        <w:pStyle w:val="Listepuces"/>
      </w:pPr>
      <w:r>
        <w:t>Politique Générale de Sécurité d</w:t>
      </w:r>
      <w:r w:rsidR="001712A6">
        <w:t>e l’i</w:t>
      </w:r>
      <w:r>
        <w:t>nformation de l'AP-HP</w:t>
      </w:r>
      <w:r w:rsidR="0093737A">
        <w:t xml:space="preserve"> (PGSI)</w:t>
      </w:r>
    </w:p>
    <w:p w14:paraId="08C4932F" w14:textId="71522160" w:rsidR="00C91EB8" w:rsidRDefault="00C91EB8" w:rsidP="00C91EB8">
      <w:pPr>
        <w:pStyle w:val="Corpsdetexte"/>
      </w:pPr>
      <w:r>
        <w:t>Ces deux documents figurent en annexe</w:t>
      </w:r>
      <w:r w:rsidR="0089140B">
        <w:t>s</w:t>
      </w:r>
      <w:r>
        <w:t xml:space="preserve"> du présent CCTP.</w:t>
      </w:r>
    </w:p>
    <w:p w14:paraId="1770D856" w14:textId="77777777" w:rsidR="001712A6" w:rsidRPr="0024508E" w:rsidRDefault="001712A6" w:rsidP="001712A6">
      <w:pPr>
        <w:pStyle w:val="Titre2"/>
      </w:pPr>
      <w:bookmarkStart w:id="11" w:name="_Toc535339495"/>
      <w:bookmarkStart w:id="12" w:name="_Toc184968773"/>
      <w:bookmarkStart w:id="13" w:name="_Toc201153268"/>
      <w:r w:rsidRPr="001712A6">
        <w:t>L’informatique</w:t>
      </w:r>
      <w:r w:rsidRPr="0024508E">
        <w:t xml:space="preserve"> de l’AP-HP</w:t>
      </w:r>
      <w:bookmarkEnd w:id="11"/>
      <w:bookmarkEnd w:id="12"/>
      <w:bookmarkEnd w:id="13"/>
    </w:p>
    <w:p w14:paraId="5F281276" w14:textId="77777777" w:rsidR="001712A6" w:rsidRPr="00B41C5D" w:rsidRDefault="001712A6" w:rsidP="001712A6">
      <w:pPr>
        <w:pStyle w:val="ttedeliste"/>
        <w:rPr>
          <w:rFonts w:ascii="Open Sans" w:hAnsi="Open Sans" w:cs="Open Sans"/>
        </w:rPr>
      </w:pPr>
      <w:r w:rsidRPr="009B610D">
        <w:rPr>
          <w:rFonts w:ascii="Open Sans" w:hAnsi="Open Sans" w:cs="Open Sans"/>
        </w:rPr>
        <w:t>La DSN de</w:t>
      </w:r>
      <w:r w:rsidRPr="00B41C5D">
        <w:rPr>
          <w:rFonts w:ascii="Open Sans" w:hAnsi="Open Sans" w:cs="Open Sans"/>
        </w:rPr>
        <w:t xml:space="preserve"> l’AP-HP a pour mission, sous l’autorité de la secrétaire générale, d’assurer la gouvernance et la cohérence du système d’information (SI) de l’AP-HP. </w:t>
      </w:r>
    </w:p>
    <w:p w14:paraId="1F59340D" w14:textId="77777777" w:rsidR="001712A6" w:rsidRPr="00B41C5D" w:rsidRDefault="001712A6" w:rsidP="001712A6">
      <w:pPr>
        <w:pStyle w:val="ttedeliste"/>
        <w:rPr>
          <w:rFonts w:ascii="Open Sans" w:hAnsi="Open Sans" w:cs="Open Sans"/>
        </w:rPr>
      </w:pPr>
      <w:r w:rsidRPr="00B41C5D">
        <w:rPr>
          <w:rFonts w:ascii="Open Sans" w:hAnsi="Open Sans" w:cs="Open Sans"/>
        </w:rPr>
        <w:t>Elle définit un cadre de cohérence technique (CCT) du SI applicable à tout projet, présenté en annexe au présent document.</w:t>
      </w:r>
    </w:p>
    <w:p w14:paraId="3C2EA1E0" w14:textId="77777777" w:rsidR="001712A6" w:rsidRPr="00B41C5D" w:rsidRDefault="001712A6" w:rsidP="001712A6">
      <w:pPr>
        <w:pStyle w:val="Corpsdetexte"/>
        <w:rPr>
          <w:rFonts w:cs="Open Sans"/>
        </w:rPr>
      </w:pPr>
      <w:r w:rsidRPr="00B41C5D">
        <w:rPr>
          <w:rFonts w:cs="Open Sans"/>
        </w:rPr>
        <w:t>Il existe un réseau étendu privé AP</w:t>
      </w:r>
      <w:r w:rsidRPr="00B41C5D">
        <w:rPr>
          <w:rFonts w:cs="Open Sans"/>
        </w:rPr>
        <w:noBreakHyphen/>
        <w:t>HP, nommé ELICE, connectant l’ensemble de ses établissements, qui peuvent partager entre eux tout ou partie de leurs ressources informatiques.</w:t>
      </w:r>
    </w:p>
    <w:p w14:paraId="6404EF55" w14:textId="77777777" w:rsidR="001712A6" w:rsidRPr="00B41C5D" w:rsidRDefault="001712A6" w:rsidP="001712A6">
      <w:pPr>
        <w:pStyle w:val="Corpsdetexte"/>
        <w:rPr>
          <w:rFonts w:cs="Open Sans"/>
        </w:rPr>
      </w:pPr>
      <w:r w:rsidRPr="00B41C5D">
        <w:rPr>
          <w:rFonts w:cs="Open Sans"/>
        </w:rPr>
        <w:t>L'AP-HP possède d’importants équipements constituant le parc des moyens de traitements informatiques, base des SI de l’AP</w:t>
      </w:r>
      <w:r w:rsidRPr="00B41C5D">
        <w:rPr>
          <w:rFonts w:cs="Open Sans"/>
        </w:rPr>
        <w:noBreakHyphen/>
        <w:t>HP, utilisés tant dans les différents hôpitaux que dans les services généraux (serveurs, baies de stockage, robotiques de sauvegardes).</w:t>
      </w:r>
    </w:p>
    <w:p w14:paraId="2C5E6B5E" w14:textId="77777777" w:rsidR="001712A6" w:rsidRPr="00B41C5D" w:rsidRDefault="001712A6" w:rsidP="001712A6">
      <w:pPr>
        <w:pStyle w:val="Corpsdetexte"/>
        <w:rPr>
          <w:rFonts w:cs="Open Sans"/>
        </w:rPr>
      </w:pPr>
      <w:r w:rsidRPr="00B41C5D">
        <w:rPr>
          <w:rFonts w:cs="Open Sans"/>
        </w:rPr>
        <w:t>Ainsi, il est possible d’avoir des postes dans les différents établissements de l’AP-HP et de considérer qu’ils sont en réseau, en lien avec un serveur central.</w:t>
      </w:r>
    </w:p>
    <w:p w14:paraId="3D49C6AC" w14:textId="0C7F49BC" w:rsidR="001712A6" w:rsidRDefault="001712A6" w:rsidP="001712A6">
      <w:pPr>
        <w:pStyle w:val="Titre2"/>
      </w:pPr>
      <w:bookmarkStart w:id="14" w:name="_Toc184968774"/>
      <w:bookmarkStart w:id="15" w:name="_Toc535339496"/>
      <w:bookmarkStart w:id="16" w:name="_Toc201153269"/>
      <w:r>
        <w:t>L’éditique externalisée actuelle</w:t>
      </w:r>
      <w:bookmarkEnd w:id="14"/>
      <w:bookmarkEnd w:id="16"/>
    </w:p>
    <w:p w14:paraId="52577FF0" w14:textId="081381B0" w:rsidR="001712A6" w:rsidRDefault="001712A6" w:rsidP="001712A6">
      <w:pPr>
        <w:pStyle w:val="Corpsdetexte"/>
      </w:pPr>
      <w:r>
        <w:t xml:space="preserve">L’AP-HP a acquis et mis en œuvre une solution de gestion des flux </w:t>
      </w:r>
      <w:r w:rsidRPr="009B610D">
        <w:t xml:space="preserve">documentaires sortants </w:t>
      </w:r>
      <w:r w:rsidR="009F6D9D" w:rsidRPr="009B610D">
        <w:t xml:space="preserve">qui </w:t>
      </w:r>
      <w:r w:rsidRPr="009B610D">
        <w:t>permet</w:t>
      </w:r>
      <w:r>
        <w:t xml:space="preserve"> de réaliser les étapes de composition des documents, post-composition et </w:t>
      </w:r>
      <w:r w:rsidR="0049553A">
        <w:t xml:space="preserve">de diffusion </w:t>
      </w:r>
      <w:r>
        <w:t>sur différents canaux, dont la production de fichier</w:t>
      </w:r>
      <w:r w:rsidR="0049553A">
        <w:t>s</w:t>
      </w:r>
      <w:r>
        <w:t xml:space="preserve"> à envoyer à un Centre de Services Editiques externalisé.</w:t>
      </w:r>
    </w:p>
    <w:p w14:paraId="1240B44C" w14:textId="7D06FE4F" w:rsidR="001712A6" w:rsidRPr="005D1E24" w:rsidRDefault="001712A6" w:rsidP="00AD78FF">
      <w:pPr>
        <w:pStyle w:val="Corpsdetexte"/>
        <w:ind w:left="284" w:hanging="284"/>
        <w:jc w:val="left"/>
      </w:pPr>
      <w:r>
        <w:t>Deux types de flux sont traités :</w:t>
      </w:r>
      <w:r w:rsidR="00AD78FF">
        <w:br/>
        <w:t xml:space="preserve">- </w:t>
      </w:r>
      <w:r>
        <w:t>les courriers produits en mode batch : factures (ASAP), paie, notifications COVID…</w:t>
      </w:r>
      <w:r w:rsidR="00F721B4">
        <w:t>,</w:t>
      </w:r>
      <w:r w:rsidR="00AD78FF">
        <w:br/>
        <w:t xml:space="preserve">- </w:t>
      </w:r>
      <w:r w:rsidRPr="005D1E24">
        <w:t>les courriers égrenés, émis au fil de l’eau via les imprimantes virtuelles (IV) mises à la disposition des utilisateurs : compte rendus, convocations</w:t>
      </w:r>
      <w:r w:rsidRPr="009B610D">
        <w:t>…</w:t>
      </w:r>
      <w:r w:rsidR="009F6D9D" w:rsidRPr="009B610D">
        <w:t xml:space="preserve"> qui sont regroupés </w:t>
      </w:r>
      <w:r w:rsidR="003F5EDB" w:rsidRPr="009B610D">
        <w:t xml:space="preserve">en lots </w:t>
      </w:r>
      <w:r w:rsidR="009F6D9D" w:rsidRPr="009B610D">
        <w:t>à l’AP-HP et produits en flux le soir.</w:t>
      </w:r>
    </w:p>
    <w:p w14:paraId="5751759D" w14:textId="5F853258" w:rsidR="001712A6" w:rsidRDefault="001712A6" w:rsidP="001712A6">
      <w:pPr>
        <w:pStyle w:val="Corpsdetexte"/>
      </w:pPr>
      <w:r>
        <w:t xml:space="preserve">Les filières actuelles, </w:t>
      </w:r>
      <w:r w:rsidRPr="000001DA">
        <w:t>à considérer comme extensible</w:t>
      </w:r>
      <w:r w:rsidR="0049553A">
        <w:t>s</w:t>
      </w:r>
      <w:r w:rsidRPr="000001DA">
        <w:t xml:space="preserve"> dans le futur</w:t>
      </w:r>
      <w:r>
        <w:t>, sont</w:t>
      </w:r>
      <w:r w:rsidR="00F721B4">
        <w:t> :</w:t>
      </w:r>
    </w:p>
    <w:tbl>
      <w:tblPr>
        <w:tblW w:w="9351" w:type="dxa"/>
        <w:tblInd w:w="137" w:type="dxa"/>
        <w:tblCellMar>
          <w:left w:w="0" w:type="dxa"/>
          <w:right w:w="0" w:type="dxa"/>
        </w:tblCellMar>
        <w:tblLook w:val="04A0" w:firstRow="1" w:lastRow="0" w:firstColumn="1" w:lastColumn="0" w:noHBand="0" w:noVBand="1"/>
      </w:tblPr>
      <w:tblGrid>
        <w:gridCol w:w="704"/>
        <w:gridCol w:w="4961"/>
        <w:gridCol w:w="3686"/>
      </w:tblGrid>
      <w:tr w:rsidR="002C10E9" w:rsidRPr="00BA4DA0" w14:paraId="3D4CF43A" w14:textId="48D6AFA4" w:rsidTr="005F5B84">
        <w:trPr>
          <w:cantSplit/>
          <w:trHeight w:val="284"/>
          <w:tblHeader/>
        </w:trPr>
        <w:tc>
          <w:tcPr>
            <w:tcW w:w="704" w:type="dxa"/>
            <w:tcBorders>
              <w:top w:val="single" w:sz="8" w:space="0" w:color="auto"/>
              <w:left w:val="single" w:sz="8" w:space="0" w:color="auto"/>
              <w:bottom w:val="single" w:sz="8" w:space="0" w:color="auto"/>
              <w:right w:val="single" w:sz="8" w:space="0" w:color="auto"/>
            </w:tcBorders>
            <w:shd w:val="clear" w:color="auto" w:fill="D9D9D9"/>
            <w:tcMar>
              <w:top w:w="57" w:type="dxa"/>
              <w:left w:w="70" w:type="dxa"/>
              <w:bottom w:w="28" w:type="dxa"/>
              <w:right w:w="70" w:type="dxa"/>
            </w:tcMar>
            <w:vAlign w:val="center"/>
            <w:hideMark/>
          </w:tcPr>
          <w:p w14:paraId="6B19F61A" w14:textId="77777777" w:rsidR="002C10E9" w:rsidRPr="00BA4DA0" w:rsidRDefault="002C10E9" w:rsidP="002C10E9">
            <w:pPr>
              <w:jc w:val="center"/>
              <w:rPr>
                <w:rFonts w:ascii="Arial" w:hAnsi="Arial" w:cs="Arial"/>
                <w:b/>
                <w:bCs/>
                <w:sz w:val="18"/>
                <w:szCs w:val="18"/>
              </w:rPr>
            </w:pPr>
            <w:r w:rsidRPr="00BA4DA0">
              <w:rPr>
                <w:rFonts w:ascii="Arial" w:hAnsi="Arial" w:cs="Arial"/>
                <w:b/>
                <w:bCs/>
                <w:sz w:val="18"/>
                <w:szCs w:val="18"/>
              </w:rPr>
              <w:t>Filière</w:t>
            </w:r>
          </w:p>
        </w:tc>
        <w:tc>
          <w:tcPr>
            <w:tcW w:w="4961" w:type="dxa"/>
            <w:tcBorders>
              <w:top w:val="single" w:sz="8" w:space="0" w:color="auto"/>
              <w:left w:val="nil"/>
              <w:bottom w:val="single" w:sz="8" w:space="0" w:color="auto"/>
              <w:right w:val="single" w:sz="8" w:space="0" w:color="auto"/>
            </w:tcBorders>
            <w:shd w:val="clear" w:color="auto" w:fill="D9D9D9"/>
            <w:tcMar>
              <w:top w:w="57" w:type="dxa"/>
              <w:left w:w="70" w:type="dxa"/>
              <w:bottom w:w="28" w:type="dxa"/>
              <w:right w:w="70" w:type="dxa"/>
            </w:tcMar>
            <w:vAlign w:val="center"/>
            <w:hideMark/>
          </w:tcPr>
          <w:p w14:paraId="5E033D21" w14:textId="77777777" w:rsidR="002C10E9" w:rsidRPr="00BA4DA0" w:rsidRDefault="002C10E9" w:rsidP="005F5B84">
            <w:pPr>
              <w:ind w:left="70" w:right="208"/>
              <w:jc w:val="center"/>
              <w:rPr>
                <w:rFonts w:ascii="Arial" w:hAnsi="Arial" w:cs="Arial"/>
                <w:b/>
                <w:bCs/>
                <w:sz w:val="18"/>
                <w:szCs w:val="18"/>
              </w:rPr>
            </w:pPr>
            <w:r w:rsidRPr="00BA4DA0">
              <w:rPr>
                <w:rFonts w:ascii="Arial" w:hAnsi="Arial" w:cs="Arial"/>
                <w:b/>
                <w:bCs/>
                <w:sz w:val="18"/>
                <w:szCs w:val="18"/>
              </w:rPr>
              <w:t>Type de document</w:t>
            </w:r>
          </w:p>
        </w:tc>
        <w:tc>
          <w:tcPr>
            <w:tcW w:w="3686" w:type="dxa"/>
            <w:tcBorders>
              <w:top w:val="single" w:sz="8" w:space="0" w:color="auto"/>
              <w:left w:val="nil"/>
              <w:bottom w:val="single" w:sz="8" w:space="0" w:color="auto"/>
              <w:right w:val="single" w:sz="8" w:space="0" w:color="auto"/>
            </w:tcBorders>
            <w:shd w:val="clear" w:color="auto" w:fill="D9D9D9"/>
            <w:vAlign w:val="center"/>
          </w:tcPr>
          <w:p w14:paraId="6F1D14F2" w14:textId="7EE8EDFA" w:rsidR="002C10E9" w:rsidRPr="00BA4DA0" w:rsidRDefault="002C10E9" w:rsidP="005F5B84">
            <w:pPr>
              <w:ind w:left="143" w:right="134"/>
              <w:jc w:val="center"/>
              <w:rPr>
                <w:rFonts w:ascii="Arial" w:hAnsi="Arial" w:cs="Arial"/>
                <w:b/>
                <w:bCs/>
                <w:sz w:val="18"/>
                <w:szCs w:val="18"/>
              </w:rPr>
            </w:pPr>
            <w:r w:rsidRPr="00BA4DA0">
              <w:rPr>
                <w:rFonts w:ascii="Arial" w:hAnsi="Arial" w:cs="Arial"/>
                <w:b/>
                <w:bCs/>
                <w:sz w:val="18"/>
                <w:szCs w:val="18"/>
              </w:rPr>
              <w:t>Périodicité</w:t>
            </w:r>
          </w:p>
        </w:tc>
      </w:tr>
      <w:tr w:rsidR="002C10E9" w:rsidRPr="00BA4DA0" w14:paraId="484D221E" w14:textId="49B9771B"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4C423BB9" w14:textId="77777777" w:rsidR="002C10E9" w:rsidRPr="00BA4DA0" w:rsidRDefault="002C10E9" w:rsidP="002C10E9">
            <w:pPr>
              <w:rPr>
                <w:rFonts w:ascii="Arial" w:hAnsi="Arial" w:cs="Arial"/>
                <w:b/>
                <w:bCs/>
                <w:sz w:val="18"/>
                <w:szCs w:val="18"/>
              </w:rPr>
            </w:pPr>
            <w:r w:rsidRPr="00BA4DA0">
              <w:rPr>
                <w:rFonts w:ascii="Arial" w:hAnsi="Arial" w:cs="Arial"/>
                <w:b/>
                <w:bCs/>
                <w:sz w:val="18"/>
                <w:szCs w:val="18"/>
              </w:rPr>
              <w:t>F0</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23F9FC34" w14:textId="77777777" w:rsidR="002C10E9" w:rsidRPr="00BA4DA0" w:rsidRDefault="002C10E9" w:rsidP="005F5B84">
            <w:pPr>
              <w:ind w:left="70" w:right="208"/>
              <w:rPr>
                <w:rFonts w:ascii="Arial" w:hAnsi="Arial" w:cs="Arial"/>
                <w:sz w:val="18"/>
                <w:szCs w:val="18"/>
              </w:rPr>
            </w:pPr>
            <w:r w:rsidRPr="00BA4DA0">
              <w:rPr>
                <w:rFonts w:ascii="Arial" w:hAnsi="Arial" w:cs="Arial"/>
                <w:sz w:val="18"/>
                <w:szCs w:val="18"/>
              </w:rPr>
              <w:t>ASAP DL</w:t>
            </w:r>
          </w:p>
        </w:tc>
        <w:tc>
          <w:tcPr>
            <w:tcW w:w="3686" w:type="dxa"/>
            <w:tcBorders>
              <w:top w:val="nil"/>
              <w:left w:val="nil"/>
              <w:bottom w:val="single" w:sz="8" w:space="0" w:color="auto"/>
              <w:right w:val="single" w:sz="8" w:space="0" w:color="auto"/>
            </w:tcBorders>
            <w:vAlign w:val="center"/>
          </w:tcPr>
          <w:p w14:paraId="6B1B35ED" w14:textId="0CB4344A" w:rsidR="002C10E9" w:rsidRPr="00BA4DA0" w:rsidRDefault="005F5B84" w:rsidP="005F5B84">
            <w:pPr>
              <w:ind w:left="143" w:right="134"/>
              <w:rPr>
                <w:rFonts w:ascii="Arial" w:hAnsi="Arial" w:cs="Arial"/>
                <w:sz w:val="18"/>
                <w:szCs w:val="18"/>
              </w:rPr>
            </w:pPr>
            <w:r w:rsidRPr="00BA4DA0">
              <w:rPr>
                <w:rFonts w:ascii="Arial" w:hAnsi="Arial" w:cs="Arial"/>
                <w:sz w:val="18"/>
                <w:szCs w:val="18"/>
              </w:rPr>
              <w:t>Quotidienne (7 / 7)</w:t>
            </w:r>
          </w:p>
        </w:tc>
      </w:tr>
      <w:tr w:rsidR="002C10E9" w:rsidRPr="00BA4DA0" w14:paraId="78C12FB6" w14:textId="0DF0AD40"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5222C0D3" w14:textId="77777777" w:rsidR="002C10E9" w:rsidRPr="00BA4DA0" w:rsidRDefault="002C10E9" w:rsidP="002C10E9">
            <w:pPr>
              <w:rPr>
                <w:rFonts w:ascii="Arial" w:hAnsi="Arial" w:cs="Arial"/>
                <w:b/>
                <w:bCs/>
                <w:sz w:val="18"/>
                <w:szCs w:val="18"/>
              </w:rPr>
            </w:pPr>
            <w:r w:rsidRPr="00BA4DA0">
              <w:rPr>
                <w:rFonts w:ascii="Arial" w:hAnsi="Arial" w:cs="Arial"/>
                <w:b/>
                <w:bCs/>
                <w:sz w:val="18"/>
                <w:szCs w:val="18"/>
              </w:rPr>
              <w:t>F1</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1A4C3605" w14:textId="77777777" w:rsidR="002C10E9" w:rsidRPr="00BA4DA0" w:rsidRDefault="002C10E9" w:rsidP="005F5B84">
            <w:pPr>
              <w:ind w:left="70" w:right="208"/>
              <w:rPr>
                <w:rFonts w:ascii="Arial" w:hAnsi="Arial" w:cs="Arial"/>
                <w:sz w:val="18"/>
                <w:szCs w:val="18"/>
              </w:rPr>
            </w:pPr>
            <w:r w:rsidRPr="00BA4DA0">
              <w:rPr>
                <w:rFonts w:ascii="Arial" w:hAnsi="Arial" w:cs="Arial"/>
                <w:sz w:val="18"/>
                <w:szCs w:val="18"/>
              </w:rPr>
              <w:t>Pré factures et quittances</w:t>
            </w:r>
          </w:p>
        </w:tc>
        <w:tc>
          <w:tcPr>
            <w:tcW w:w="3686" w:type="dxa"/>
            <w:tcBorders>
              <w:top w:val="nil"/>
              <w:left w:val="nil"/>
              <w:bottom w:val="single" w:sz="8" w:space="0" w:color="auto"/>
              <w:right w:val="single" w:sz="8" w:space="0" w:color="auto"/>
            </w:tcBorders>
            <w:vAlign w:val="center"/>
          </w:tcPr>
          <w:p w14:paraId="6533364E" w14:textId="164F7B19" w:rsidR="002C10E9" w:rsidRPr="00BA4DA0" w:rsidRDefault="005F5B84" w:rsidP="005F5B84">
            <w:pPr>
              <w:ind w:left="143" w:right="134"/>
              <w:rPr>
                <w:rFonts w:ascii="Arial" w:hAnsi="Arial" w:cs="Arial"/>
                <w:sz w:val="18"/>
                <w:szCs w:val="18"/>
              </w:rPr>
            </w:pPr>
            <w:r w:rsidRPr="00BA4DA0">
              <w:rPr>
                <w:rFonts w:ascii="Arial" w:hAnsi="Arial" w:cs="Arial"/>
                <w:sz w:val="18"/>
                <w:szCs w:val="18"/>
              </w:rPr>
              <w:t>Quotidienne (7 / 7)</w:t>
            </w:r>
          </w:p>
        </w:tc>
      </w:tr>
      <w:tr w:rsidR="002C10E9" w:rsidRPr="00BA4DA0" w14:paraId="074D5C64" w14:textId="78B7482B"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2650476A" w14:textId="77777777" w:rsidR="002C10E9" w:rsidRPr="00BA4DA0" w:rsidRDefault="002C10E9" w:rsidP="002C10E9">
            <w:pPr>
              <w:rPr>
                <w:rFonts w:ascii="Arial" w:hAnsi="Arial" w:cs="Arial"/>
                <w:b/>
                <w:bCs/>
                <w:sz w:val="18"/>
                <w:szCs w:val="18"/>
              </w:rPr>
            </w:pPr>
            <w:r w:rsidRPr="00BA4DA0">
              <w:rPr>
                <w:rFonts w:ascii="Arial" w:hAnsi="Arial" w:cs="Arial"/>
                <w:b/>
                <w:bCs/>
                <w:sz w:val="18"/>
                <w:szCs w:val="18"/>
              </w:rPr>
              <w:t>F3</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70D06F5E" w14:textId="77777777" w:rsidR="002C10E9" w:rsidRPr="00BA4DA0" w:rsidRDefault="002C10E9" w:rsidP="005F5B84">
            <w:pPr>
              <w:ind w:left="70" w:right="208"/>
              <w:rPr>
                <w:rFonts w:ascii="Arial" w:hAnsi="Arial" w:cs="Arial"/>
                <w:sz w:val="18"/>
                <w:szCs w:val="18"/>
              </w:rPr>
            </w:pPr>
            <w:r w:rsidRPr="00BA4DA0">
              <w:rPr>
                <w:rFonts w:ascii="Arial" w:hAnsi="Arial" w:cs="Arial"/>
                <w:sz w:val="18"/>
                <w:szCs w:val="18"/>
              </w:rPr>
              <w:t>ASAP C4</w:t>
            </w:r>
          </w:p>
        </w:tc>
        <w:tc>
          <w:tcPr>
            <w:tcW w:w="3686" w:type="dxa"/>
            <w:tcBorders>
              <w:top w:val="nil"/>
              <w:left w:val="nil"/>
              <w:bottom w:val="single" w:sz="8" w:space="0" w:color="auto"/>
              <w:right w:val="single" w:sz="8" w:space="0" w:color="auto"/>
            </w:tcBorders>
            <w:vAlign w:val="center"/>
          </w:tcPr>
          <w:p w14:paraId="2A5880CD" w14:textId="4161E592" w:rsidR="002C10E9" w:rsidRPr="00BA4DA0" w:rsidRDefault="005F5B84" w:rsidP="005F5B84">
            <w:pPr>
              <w:ind w:left="143" w:right="134"/>
              <w:rPr>
                <w:rFonts w:ascii="Arial" w:hAnsi="Arial" w:cs="Arial"/>
                <w:sz w:val="18"/>
                <w:szCs w:val="18"/>
              </w:rPr>
            </w:pPr>
            <w:r w:rsidRPr="00BA4DA0">
              <w:rPr>
                <w:rFonts w:ascii="Arial" w:hAnsi="Arial" w:cs="Arial"/>
                <w:sz w:val="18"/>
                <w:szCs w:val="18"/>
              </w:rPr>
              <w:t>Quotidienne (7 / 7)</w:t>
            </w:r>
          </w:p>
        </w:tc>
      </w:tr>
      <w:tr w:rsidR="002C10E9" w:rsidRPr="00BA4DA0" w14:paraId="24273B10" w14:textId="2051F099"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3DDE29E4" w14:textId="77777777" w:rsidR="002C10E9" w:rsidRPr="00BA4DA0" w:rsidRDefault="002C10E9" w:rsidP="002C10E9">
            <w:pPr>
              <w:rPr>
                <w:rFonts w:ascii="Arial" w:hAnsi="Arial" w:cs="Arial"/>
                <w:b/>
                <w:bCs/>
                <w:sz w:val="18"/>
                <w:szCs w:val="18"/>
              </w:rPr>
            </w:pPr>
            <w:r w:rsidRPr="00BA4DA0">
              <w:rPr>
                <w:rFonts w:ascii="Arial" w:hAnsi="Arial" w:cs="Arial"/>
                <w:b/>
                <w:bCs/>
                <w:sz w:val="18"/>
                <w:szCs w:val="18"/>
              </w:rPr>
              <w:t>F4</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0EF9E733" w14:textId="77777777" w:rsidR="002C10E9" w:rsidRPr="00BA4DA0" w:rsidRDefault="002C10E9" w:rsidP="005F5B84">
            <w:pPr>
              <w:ind w:left="70" w:right="208"/>
              <w:rPr>
                <w:rFonts w:ascii="Arial" w:hAnsi="Arial" w:cs="Arial"/>
                <w:sz w:val="18"/>
                <w:szCs w:val="18"/>
              </w:rPr>
            </w:pPr>
            <w:r w:rsidRPr="00BA4DA0">
              <w:rPr>
                <w:rFonts w:ascii="Arial" w:hAnsi="Arial" w:cs="Arial"/>
                <w:sz w:val="18"/>
                <w:szCs w:val="18"/>
              </w:rPr>
              <w:t>Mandats SEPA</w:t>
            </w:r>
          </w:p>
        </w:tc>
        <w:tc>
          <w:tcPr>
            <w:tcW w:w="3686" w:type="dxa"/>
            <w:tcBorders>
              <w:top w:val="nil"/>
              <w:left w:val="nil"/>
              <w:bottom w:val="single" w:sz="8" w:space="0" w:color="auto"/>
              <w:right w:val="single" w:sz="8" w:space="0" w:color="auto"/>
            </w:tcBorders>
            <w:vAlign w:val="center"/>
          </w:tcPr>
          <w:p w14:paraId="0287D2EF" w14:textId="5590F5E6" w:rsidR="002C10E9" w:rsidRPr="00BA4DA0" w:rsidRDefault="005F5B84" w:rsidP="005F5B84">
            <w:pPr>
              <w:ind w:left="143" w:right="134"/>
              <w:rPr>
                <w:rFonts w:ascii="Arial" w:hAnsi="Arial" w:cs="Arial"/>
                <w:sz w:val="18"/>
                <w:szCs w:val="18"/>
              </w:rPr>
            </w:pPr>
            <w:r w:rsidRPr="00BA4DA0">
              <w:rPr>
                <w:rFonts w:ascii="Arial" w:hAnsi="Arial" w:cs="Arial"/>
                <w:sz w:val="18"/>
                <w:szCs w:val="18"/>
              </w:rPr>
              <w:t>Quotidienne (7 / 7)</w:t>
            </w:r>
          </w:p>
        </w:tc>
      </w:tr>
      <w:tr w:rsidR="002C10E9" w:rsidRPr="00BA4DA0" w14:paraId="2A5E3C67" w14:textId="2FB3DAE4"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10119CBF" w14:textId="77777777" w:rsidR="002C10E9" w:rsidRPr="00BA4DA0" w:rsidRDefault="002C10E9" w:rsidP="002C10E9">
            <w:pPr>
              <w:rPr>
                <w:rFonts w:ascii="Arial" w:hAnsi="Arial" w:cs="Arial"/>
                <w:b/>
                <w:bCs/>
                <w:sz w:val="18"/>
                <w:szCs w:val="18"/>
              </w:rPr>
            </w:pPr>
            <w:r w:rsidRPr="00BA4DA0">
              <w:rPr>
                <w:rFonts w:ascii="Arial" w:hAnsi="Arial" w:cs="Arial"/>
                <w:b/>
                <w:bCs/>
                <w:sz w:val="18"/>
                <w:szCs w:val="18"/>
              </w:rPr>
              <w:t>F6</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1F841D21" w14:textId="3242AA0E" w:rsidR="002C10E9" w:rsidRPr="00BA4DA0" w:rsidRDefault="002C10E9" w:rsidP="005F5B84">
            <w:pPr>
              <w:ind w:left="70" w:right="208"/>
              <w:rPr>
                <w:rFonts w:ascii="Arial" w:hAnsi="Arial" w:cs="Arial"/>
                <w:sz w:val="18"/>
                <w:szCs w:val="18"/>
              </w:rPr>
            </w:pPr>
            <w:r w:rsidRPr="00BA4DA0">
              <w:rPr>
                <w:rFonts w:ascii="Arial" w:hAnsi="Arial" w:cs="Arial"/>
                <w:sz w:val="18"/>
                <w:szCs w:val="18"/>
              </w:rPr>
              <w:t>Bulletins de salaires (envois postaux)</w:t>
            </w:r>
          </w:p>
        </w:tc>
        <w:tc>
          <w:tcPr>
            <w:tcW w:w="3686" w:type="dxa"/>
            <w:tcBorders>
              <w:top w:val="nil"/>
              <w:left w:val="nil"/>
              <w:bottom w:val="single" w:sz="8" w:space="0" w:color="auto"/>
              <w:right w:val="single" w:sz="8" w:space="0" w:color="auto"/>
            </w:tcBorders>
            <w:vAlign w:val="center"/>
          </w:tcPr>
          <w:p w14:paraId="21E11BEC" w14:textId="6399A7B2" w:rsidR="002C10E9" w:rsidRPr="00BA4DA0" w:rsidRDefault="005F5B84" w:rsidP="005F5B84">
            <w:pPr>
              <w:ind w:left="143" w:right="134"/>
              <w:rPr>
                <w:rFonts w:ascii="Arial" w:hAnsi="Arial" w:cs="Arial"/>
                <w:sz w:val="18"/>
                <w:szCs w:val="18"/>
              </w:rPr>
            </w:pPr>
            <w:r w:rsidRPr="00BA4DA0">
              <w:rPr>
                <w:rFonts w:ascii="Arial" w:hAnsi="Arial" w:cs="Arial"/>
                <w:sz w:val="18"/>
                <w:szCs w:val="18"/>
              </w:rPr>
              <w:t>Mensuelle</w:t>
            </w:r>
          </w:p>
        </w:tc>
      </w:tr>
      <w:tr w:rsidR="002C10E9" w:rsidRPr="00BA4DA0" w14:paraId="03D861B8" w14:textId="53F8F4F7"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7C4004D8" w14:textId="77777777" w:rsidR="002C10E9" w:rsidRPr="00BA4DA0" w:rsidRDefault="002C10E9" w:rsidP="002C10E9">
            <w:pPr>
              <w:rPr>
                <w:rFonts w:ascii="Arial" w:hAnsi="Arial" w:cs="Arial"/>
                <w:b/>
                <w:bCs/>
                <w:sz w:val="18"/>
                <w:szCs w:val="18"/>
              </w:rPr>
            </w:pPr>
            <w:r w:rsidRPr="00BA4DA0">
              <w:rPr>
                <w:rFonts w:ascii="Arial" w:hAnsi="Arial" w:cs="Arial"/>
                <w:b/>
                <w:bCs/>
                <w:sz w:val="18"/>
                <w:szCs w:val="18"/>
              </w:rPr>
              <w:t>F20</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3F06D2F9" w14:textId="77777777" w:rsidR="002C10E9" w:rsidRPr="00BA4DA0" w:rsidRDefault="002C10E9" w:rsidP="005F5B84">
            <w:pPr>
              <w:ind w:left="70" w:right="208"/>
              <w:rPr>
                <w:rFonts w:ascii="Arial" w:hAnsi="Arial" w:cs="Arial"/>
                <w:sz w:val="18"/>
                <w:szCs w:val="18"/>
              </w:rPr>
            </w:pPr>
            <w:r w:rsidRPr="00BA4DA0">
              <w:rPr>
                <w:rFonts w:ascii="Arial" w:hAnsi="Arial" w:cs="Arial"/>
                <w:sz w:val="18"/>
                <w:szCs w:val="18"/>
              </w:rPr>
              <w:t>Courriers égrenés LG4</w:t>
            </w:r>
          </w:p>
        </w:tc>
        <w:tc>
          <w:tcPr>
            <w:tcW w:w="3686" w:type="dxa"/>
            <w:tcBorders>
              <w:top w:val="nil"/>
              <w:left w:val="nil"/>
              <w:bottom w:val="single" w:sz="8" w:space="0" w:color="auto"/>
              <w:right w:val="single" w:sz="8" w:space="0" w:color="auto"/>
            </w:tcBorders>
            <w:vAlign w:val="center"/>
          </w:tcPr>
          <w:p w14:paraId="10DA8578" w14:textId="185580AC" w:rsidR="002C10E9" w:rsidRPr="00BA4DA0" w:rsidRDefault="005F5B84" w:rsidP="005F5B84">
            <w:pPr>
              <w:ind w:left="143" w:right="134"/>
              <w:rPr>
                <w:rFonts w:ascii="Arial" w:hAnsi="Arial" w:cs="Arial"/>
                <w:sz w:val="18"/>
                <w:szCs w:val="18"/>
              </w:rPr>
            </w:pPr>
            <w:r w:rsidRPr="00BA4DA0">
              <w:rPr>
                <w:rFonts w:ascii="Arial" w:hAnsi="Arial" w:cs="Arial"/>
                <w:sz w:val="18"/>
                <w:szCs w:val="18"/>
              </w:rPr>
              <w:t>Quotidienne (5 / 7 du lundi au vendredi)</w:t>
            </w:r>
          </w:p>
        </w:tc>
      </w:tr>
      <w:tr w:rsidR="00BA4DA0" w:rsidRPr="00BA4DA0" w14:paraId="3CF92ECD" w14:textId="2A3F08FD"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1F29795B" w14:textId="77777777" w:rsidR="00BA4DA0" w:rsidRPr="00BA4DA0" w:rsidRDefault="00BA4DA0" w:rsidP="00BA4DA0">
            <w:pPr>
              <w:rPr>
                <w:rFonts w:ascii="Arial" w:hAnsi="Arial" w:cs="Arial"/>
                <w:b/>
                <w:bCs/>
                <w:sz w:val="18"/>
                <w:szCs w:val="18"/>
              </w:rPr>
            </w:pPr>
            <w:r w:rsidRPr="00BA4DA0">
              <w:rPr>
                <w:rFonts w:ascii="Arial" w:hAnsi="Arial" w:cs="Arial"/>
                <w:b/>
                <w:bCs/>
                <w:sz w:val="18"/>
                <w:szCs w:val="18"/>
              </w:rPr>
              <w:t>F22</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152163AA" w14:textId="77777777" w:rsidR="00BA4DA0" w:rsidRPr="00BA4DA0" w:rsidRDefault="00BA4DA0" w:rsidP="00BA4DA0">
            <w:pPr>
              <w:ind w:left="70" w:right="208"/>
              <w:rPr>
                <w:rFonts w:ascii="Arial" w:hAnsi="Arial" w:cs="Arial"/>
                <w:sz w:val="18"/>
                <w:szCs w:val="18"/>
              </w:rPr>
            </w:pPr>
            <w:r w:rsidRPr="00BA4DA0">
              <w:rPr>
                <w:rFonts w:ascii="Arial" w:hAnsi="Arial" w:cs="Arial"/>
                <w:sz w:val="18"/>
                <w:szCs w:val="18"/>
              </w:rPr>
              <w:t>Courriers égrenés LG2</w:t>
            </w:r>
          </w:p>
        </w:tc>
        <w:tc>
          <w:tcPr>
            <w:tcW w:w="3686" w:type="dxa"/>
            <w:tcBorders>
              <w:top w:val="nil"/>
              <w:left w:val="nil"/>
              <w:bottom w:val="single" w:sz="8" w:space="0" w:color="auto"/>
              <w:right w:val="single" w:sz="8" w:space="0" w:color="auto"/>
            </w:tcBorders>
            <w:vAlign w:val="center"/>
          </w:tcPr>
          <w:p w14:paraId="4F4894D2" w14:textId="64A0AAB7" w:rsidR="00BA4DA0" w:rsidRPr="00BA4DA0" w:rsidRDefault="00BA4DA0" w:rsidP="00BA4DA0">
            <w:pPr>
              <w:ind w:left="143" w:right="134"/>
              <w:rPr>
                <w:rFonts w:ascii="Arial" w:hAnsi="Arial" w:cs="Arial"/>
                <w:b/>
                <w:bCs/>
                <w:sz w:val="18"/>
                <w:szCs w:val="18"/>
              </w:rPr>
            </w:pPr>
            <w:r w:rsidRPr="00BA4DA0">
              <w:rPr>
                <w:rFonts w:ascii="Arial" w:hAnsi="Arial" w:cs="Arial"/>
                <w:sz w:val="18"/>
                <w:szCs w:val="18"/>
              </w:rPr>
              <w:t>Quotidienne (5 / 7 du lundi au vendredi)</w:t>
            </w:r>
          </w:p>
        </w:tc>
      </w:tr>
      <w:tr w:rsidR="00BA4DA0" w:rsidRPr="00BA4DA0" w14:paraId="29D5FD5D" w14:textId="2E821DFF"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3E85313C" w14:textId="77777777" w:rsidR="00BA4DA0" w:rsidRPr="00BA4DA0" w:rsidRDefault="00BA4DA0" w:rsidP="00BA4DA0">
            <w:pPr>
              <w:rPr>
                <w:rFonts w:ascii="Arial" w:hAnsi="Arial" w:cs="Arial"/>
                <w:b/>
                <w:bCs/>
                <w:sz w:val="18"/>
                <w:szCs w:val="18"/>
              </w:rPr>
            </w:pPr>
            <w:r w:rsidRPr="00BA4DA0">
              <w:rPr>
                <w:rFonts w:ascii="Arial" w:hAnsi="Arial" w:cs="Arial"/>
                <w:b/>
                <w:bCs/>
                <w:sz w:val="18"/>
                <w:szCs w:val="18"/>
              </w:rPr>
              <w:t>F9</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16BE9E92" w14:textId="77777777" w:rsidR="00BA4DA0" w:rsidRPr="00BA4DA0" w:rsidRDefault="00BA4DA0" w:rsidP="00BA4DA0">
            <w:pPr>
              <w:ind w:left="70" w:right="208"/>
              <w:rPr>
                <w:rFonts w:ascii="Arial" w:hAnsi="Arial" w:cs="Arial"/>
                <w:sz w:val="18"/>
                <w:szCs w:val="18"/>
              </w:rPr>
            </w:pPr>
            <w:r w:rsidRPr="00BA4DA0">
              <w:rPr>
                <w:rFonts w:ascii="Arial" w:hAnsi="Arial" w:cs="Arial"/>
                <w:sz w:val="18"/>
                <w:szCs w:val="18"/>
              </w:rPr>
              <w:t>Courriers égrenés LG4</w:t>
            </w:r>
          </w:p>
        </w:tc>
        <w:tc>
          <w:tcPr>
            <w:tcW w:w="3686" w:type="dxa"/>
            <w:tcBorders>
              <w:top w:val="nil"/>
              <w:left w:val="nil"/>
              <w:bottom w:val="single" w:sz="8" w:space="0" w:color="auto"/>
              <w:right w:val="single" w:sz="8" w:space="0" w:color="auto"/>
            </w:tcBorders>
            <w:vAlign w:val="center"/>
          </w:tcPr>
          <w:p w14:paraId="50C59415" w14:textId="3991B476" w:rsidR="00BA4DA0" w:rsidRPr="00BA4DA0" w:rsidRDefault="00BA4DA0" w:rsidP="00BA4DA0">
            <w:pPr>
              <w:ind w:left="143" w:right="134"/>
              <w:rPr>
                <w:rFonts w:ascii="Arial" w:hAnsi="Arial" w:cs="Arial"/>
                <w:sz w:val="18"/>
                <w:szCs w:val="18"/>
              </w:rPr>
            </w:pPr>
            <w:r w:rsidRPr="00BA4DA0">
              <w:rPr>
                <w:rFonts w:ascii="Arial" w:hAnsi="Arial" w:cs="Arial"/>
                <w:sz w:val="18"/>
                <w:szCs w:val="18"/>
              </w:rPr>
              <w:t>Quotidienne (7 / 7)</w:t>
            </w:r>
          </w:p>
        </w:tc>
      </w:tr>
      <w:tr w:rsidR="00BA4DA0" w:rsidRPr="00BA4DA0" w14:paraId="7B3227E1" w14:textId="46CEB84E"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1165A6B7" w14:textId="77777777" w:rsidR="00BA4DA0" w:rsidRPr="00BA4DA0" w:rsidRDefault="00BA4DA0" w:rsidP="00BA4DA0">
            <w:pPr>
              <w:rPr>
                <w:rFonts w:ascii="Arial" w:hAnsi="Arial" w:cs="Arial"/>
                <w:b/>
                <w:bCs/>
                <w:sz w:val="18"/>
                <w:szCs w:val="18"/>
              </w:rPr>
            </w:pPr>
            <w:r w:rsidRPr="00BA4DA0">
              <w:rPr>
                <w:rFonts w:ascii="Arial" w:hAnsi="Arial" w:cs="Arial"/>
                <w:b/>
                <w:bCs/>
                <w:sz w:val="18"/>
                <w:szCs w:val="18"/>
              </w:rPr>
              <w:t>F10</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03B96A5D" w14:textId="77777777" w:rsidR="00BA4DA0" w:rsidRPr="00BA4DA0" w:rsidRDefault="00BA4DA0" w:rsidP="00BA4DA0">
            <w:pPr>
              <w:ind w:left="70" w:right="208"/>
              <w:rPr>
                <w:rFonts w:ascii="Arial" w:hAnsi="Arial" w:cs="Arial"/>
                <w:sz w:val="18"/>
                <w:szCs w:val="18"/>
              </w:rPr>
            </w:pPr>
            <w:r w:rsidRPr="00BA4DA0">
              <w:rPr>
                <w:rFonts w:ascii="Arial" w:hAnsi="Arial" w:cs="Arial"/>
                <w:sz w:val="18"/>
                <w:szCs w:val="18"/>
              </w:rPr>
              <w:t>Production batch de comptes rendus des établissements St Louis et Lariboisière</w:t>
            </w:r>
          </w:p>
        </w:tc>
        <w:tc>
          <w:tcPr>
            <w:tcW w:w="3686" w:type="dxa"/>
            <w:tcBorders>
              <w:top w:val="nil"/>
              <w:left w:val="nil"/>
              <w:bottom w:val="single" w:sz="8" w:space="0" w:color="auto"/>
              <w:right w:val="single" w:sz="8" w:space="0" w:color="auto"/>
            </w:tcBorders>
            <w:vAlign w:val="center"/>
          </w:tcPr>
          <w:p w14:paraId="0381578A" w14:textId="25C4DB8D" w:rsidR="00BA4DA0" w:rsidRPr="00BA4DA0" w:rsidRDefault="00BA4DA0" w:rsidP="00BA4DA0">
            <w:pPr>
              <w:ind w:left="143" w:right="134"/>
              <w:rPr>
                <w:rFonts w:ascii="Arial" w:hAnsi="Arial" w:cs="Arial"/>
                <w:sz w:val="18"/>
                <w:szCs w:val="18"/>
              </w:rPr>
            </w:pPr>
            <w:r w:rsidRPr="00BA4DA0">
              <w:rPr>
                <w:rFonts w:ascii="Arial" w:hAnsi="Arial" w:cs="Arial"/>
                <w:sz w:val="18"/>
                <w:szCs w:val="18"/>
              </w:rPr>
              <w:t>Quotidienne (7 / 7)</w:t>
            </w:r>
          </w:p>
        </w:tc>
      </w:tr>
      <w:tr w:rsidR="00BA4DA0" w:rsidRPr="00BA4DA0" w14:paraId="38EF24E1" w14:textId="1407FC63"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4E30E87C" w14:textId="77777777" w:rsidR="00BA4DA0" w:rsidRPr="00BA4DA0" w:rsidRDefault="00BA4DA0" w:rsidP="00BA4DA0">
            <w:pPr>
              <w:rPr>
                <w:rFonts w:ascii="Arial" w:hAnsi="Arial" w:cs="Arial"/>
                <w:b/>
                <w:bCs/>
                <w:sz w:val="18"/>
                <w:szCs w:val="18"/>
              </w:rPr>
            </w:pPr>
            <w:r w:rsidRPr="00BA4DA0">
              <w:rPr>
                <w:rFonts w:ascii="Arial" w:hAnsi="Arial" w:cs="Arial"/>
                <w:b/>
                <w:bCs/>
                <w:sz w:val="18"/>
                <w:szCs w:val="18"/>
              </w:rPr>
              <w:lastRenderedPageBreak/>
              <w:t>F40</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4553BFBA" w14:textId="77777777" w:rsidR="00BA4DA0" w:rsidRPr="00BA4DA0" w:rsidRDefault="00BA4DA0" w:rsidP="00BA4DA0">
            <w:pPr>
              <w:ind w:left="70" w:right="208"/>
              <w:rPr>
                <w:rFonts w:ascii="Arial" w:hAnsi="Arial" w:cs="Arial"/>
                <w:sz w:val="18"/>
                <w:szCs w:val="18"/>
              </w:rPr>
            </w:pPr>
            <w:r w:rsidRPr="00BA4DA0">
              <w:rPr>
                <w:rFonts w:ascii="Arial" w:hAnsi="Arial" w:cs="Arial"/>
                <w:sz w:val="18"/>
                <w:szCs w:val="18"/>
              </w:rPr>
              <w:t>Attestations fiscales</w:t>
            </w:r>
          </w:p>
        </w:tc>
        <w:tc>
          <w:tcPr>
            <w:tcW w:w="3686" w:type="dxa"/>
            <w:tcBorders>
              <w:top w:val="nil"/>
              <w:left w:val="nil"/>
              <w:bottom w:val="single" w:sz="8" w:space="0" w:color="auto"/>
              <w:right w:val="single" w:sz="8" w:space="0" w:color="auto"/>
            </w:tcBorders>
            <w:vAlign w:val="center"/>
          </w:tcPr>
          <w:p w14:paraId="116A1EBC" w14:textId="416FCAA1" w:rsidR="00BA4DA0" w:rsidRPr="00BA4DA0" w:rsidRDefault="00BA4DA0" w:rsidP="00BA4DA0">
            <w:pPr>
              <w:ind w:left="143" w:right="134"/>
              <w:rPr>
                <w:rFonts w:ascii="Arial" w:hAnsi="Arial" w:cs="Arial"/>
                <w:sz w:val="18"/>
                <w:szCs w:val="18"/>
              </w:rPr>
            </w:pPr>
            <w:r w:rsidRPr="00BA4DA0">
              <w:rPr>
                <w:rFonts w:ascii="Arial" w:hAnsi="Arial" w:cs="Arial"/>
                <w:sz w:val="18"/>
                <w:szCs w:val="18"/>
              </w:rPr>
              <w:t>Annuelle</w:t>
            </w:r>
          </w:p>
        </w:tc>
      </w:tr>
      <w:tr w:rsidR="00BA4DA0" w:rsidRPr="00BA4DA0" w14:paraId="0C453891" w14:textId="2F29D1B0"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49668B34" w14:textId="77777777" w:rsidR="00BA4DA0" w:rsidRPr="00BA4DA0" w:rsidRDefault="00BA4DA0" w:rsidP="00BA4DA0">
            <w:pPr>
              <w:rPr>
                <w:rFonts w:ascii="Arial" w:hAnsi="Arial" w:cs="Arial"/>
                <w:b/>
                <w:bCs/>
                <w:sz w:val="18"/>
                <w:szCs w:val="18"/>
              </w:rPr>
            </w:pPr>
            <w:r w:rsidRPr="00BA4DA0">
              <w:rPr>
                <w:rFonts w:ascii="Arial" w:hAnsi="Arial" w:cs="Arial"/>
                <w:b/>
                <w:bCs/>
                <w:sz w:val="18"/>
                <w:szCs w:val="18"/>
              </w:rPr>
              <w:t>F50</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7DF71DF5" w14:textId="77777777" w:rsidR="00BA4DA0" w:rsidRPr="00BA4DA0" w:rsidRDefault="00BA4DA0" w:rsidP="00BA4DA0">
            <w:pPr>
              <w:ind w:left="70" w:right="208"/>
              <w:rPr>
                <w:rFonts w:ascii="Arial" w:hAnsi="Arial" w:cs="Arial"/>
                <w:sz w:val="18"/>
                <w:szCs w:val="18"/>
              </w:rPr>
            </w:pPr>
            <w:r w:rsidRPr="00BA4DA0">
              <w:rPr>
                <w:rFonts w:ascii="Arial" w:hAnsi="Arial" w:cs="Arial"/>
                <w:sz w:val="18"/>
                <w:szCs w:val="18"/>
              </w:rPr>
              <w:t>Opérations exceptionnelles de mailing recto simple</w:t>
            </w:r>
          </w:p>
        </w:tc>
        <w:tc>
          <w:tcPr>
            <w:tcW w:w="3686" w:type="dxa"/>
            <w:tcBorders>
              <w:top w:val="nil"/>
              <w:left w:val="nil"/>
              <w:bottom w:val="single" w:sz="8" w:space="0" w:color="auto"/>
              <w:right w:val="single" w:sz="8" w:space="0" w:color="auto"/>
            </w:tcBorders>
            <w:vAlign w:val="center"/>
          </w:tcPr>
          <w:p w14:paraId="725E1A09" w14:textId="02C22B17" w:rsidR="00BA4DA0" w:rsidRPr="00BA4DA0" w:rsidRDefault="00BA4DA0" w:rsidP="00BA4DA0">
            <w:pPr>
              <w:ind w:left="143" w:right="134"/>
              <w:rPr>
                <w:rFonts w:ascii="Arial" w:hAnsi="Arial" w:cs="Arial"/>
                <w:color w:val="auto"/>
                <w:sz w:val="18"/>
                <w:szCs w:val="18"/>
              </w:rPr>
            </w:pPr>
            <w:r w:rsidRPr="00BA4DA0">
              <w:rPr>
                <w:rFonts w:ascii="Arial" w:hAnsi="Arial" w:cs="Arial"/>
                <w:color w:val="auto"/>
                <w:sz w:val="18"/>
                <w:szCs w:val="18"/>
              </w:rPr>
              <w:t>Ponctuel sur demande</w:t>
            </w:r>
          </w:p>
        </w:tc>
      </w:tr>
      <w:tr w:rsidR="00BA4DA0" w14:paraId="333E59D8" w14:textId="1F19C7F4" w:rsidTr="005F5B84">
        <w:trPr>
          <w:cantSplit/>
          <w:trHeight w:val="284"/>
        </w:trPr>
        <w:tc>
          <w:tcPr>
            <w:tcW w:w="704" w:type="dxa"/>
            <w:tcBorders>
              <w:top w:val="nil"/>
              <w:left w:val="single" w:sz="8" w:space="0" w:color="auto"/>
              <w:bottom w:val="single" w:sz="8" w:space="0" w:color="auto"/>
              <w:right w:val="single" w:sz="8" w:space="0" w:color="auto"/>
            </w:tcBorders>
            <w:noWrap/>
            <w:tcMar>
              <w:top w:w="57" w:type="dxa"/>
              <w:left w:w="70" w:type="dxa"/>
              <w:bottom w:w="28" w:type="dxa"/>
              <w:right w:w="70" w:type="dxa"/>
            </w:tcMar>
            <w:vAlign w:val="center"/>
            <w:hideMark/>
          </w:tcPr>
          <w:p w14:paraId="5697D031" w14:textId="77777777" w:rsidR="00BA4DA0" w:rsidRPr="00BA4DA0" w:rsidRDefault="00BA4DA0" w:rsidP="00BA4DA0">
            <w:pPr>
              <w:rPr>
                <w:rFonts w:ascii="Arial" w:hAnsi="Arial" w:cs="Arial"/>
                <w:b/>
                <w:bCs/>
                <w:sz w:val="18"/>
                <w:szCs w:val="18"/>
              </w:rPr>
            </w:pPr>
            <w:r w:rsidRPr="00BA4DA0">
              <w:rPr>
                <w:rFonts w:ascii="Arial" w:hAnsi="Arial" w:cs="Arial"/>
                <w:b/>
                <w:bCs/>
                <w:sz w:val="18"/>
                <w:szCs w:val="18"/>
              </w:rPr>
              <w:t>F51</w:t>
            </w:r>
          </w:p>
        </w:tc>
        <w:tc>
          <w:tcPr>
            <w:tcW w:w="4961" w:type="dxa"/>
            <w:tcBorders>
              <w:top w:val="nil"/>
              <w:left w:val="nil"/>
              <w:bottom w:val="single" w:sz="8" w:space="0" w:color="auto"/>
              <w:right w:val="single" w:sz="8" w:space="0" w:color="auto"/>
            </w:tcBorders>
            <w:noWrap/>
            <w:tcMar>
              <w:top w:w="57" w:type="dxa"/>
              <w:left w:w="70" w:type="dxa"/>
              <w:bottom w:w="28" w:type="dxa"/>
              <w:right w:w="70" w:type="dxa"/>
            </w:tcMar>
            <w:vAlign w:val="center"/>
            <w:hideMark/>
          </w:tcPr>
          <w:p w14:paraId="191AC683" w14:textId="77777777" w:rsidR="00BA4DA0" w:rsidRPr="00BA4DA0" w:rsidRDefault="00BA4DA0" w:rsidP="00BA4DA0">
            <w:pPr>
              <w:ind w:left="70" w:right="208"/>
              <w:rPr>
                <w:rFonts w:ascii="Arial" w:hAnsi="Arial" w:cs="Arial"/>
                <w:sz w:val="18"/>
                <w:szCs w:val="18"/>
              </w:rPr>
            </w:pPr>
            <w:r w:rsidRPr="00BA4DA0">
              <w:rPr>
                <w:rFonts w:ascii="Arial" w:hAnsi="Arial" w:cs="Arial"/>
                <w:sz w:val="18"/>
                <w:szCs w:val="18"/>
              </w:rPr>
              <w:t>Opérations exceptionnelles de mailing recto-verso</w:t>
            </w:r>
          </w:p>
        </w:tc>
        <w:tc>
          <w:tcPr>
            <w:tcW w:w="3686" w:type="dxa"/>
            <w:tcBorders>
              <w:top w:val="nil"/>
              <w:left w:val="nil"/>
              <w:bottom w:val="single" w:sz="8" w:space="0" w:color="auto"/>
              <w:right w:val="single" w:sz="8" w:space="0" w:color="auto"/>
            </w:tcBorders>
            <w:vAlign w:val="center"/>
          </w:tcPr>
          <w:p w14:paraId="3B1898B5" w14:textId="6DFBC774" w:rsidR="00BA4DA0" w:rsidRPr="00BA4DA0" w:rsidRDefault="00BA4DA0" w:rsidP="00BA4DA0">
            <w:pPr>
              <w:ind w:left="143" w:right="134"/>
              <w:rPr>
                <w:rFonts w:ascii="Arial" w:hAnsi="Arial" w:cs="Arial"/>
                <w:color w:val="auto"/>
                <w:sz w:val="18"/>
                <w:szCs w:val="18"/>
              </w:rPr>
            </w:pPr>
            <w:r w:rsidRPr="00BA4DA0">
              <w:rPr>
                <w:rFonts w:ascii="Arial" w:hAnsi="Arial" w:cs="Arial"/>
                <w:color w:val="auto"/>
                <w:sz w:val="18"/>
                <w:szCs w:val="18"/>
              </w:rPr>
              <w:t>Ponctuel sur demande</w:t>
            </w:r>
          </w:p>
        </w:tc>
      </w:tr>
    </w:tbl>
    <w:p w14:paraId="5B8780FB" w14:textId="77777777" w:rsidR="001712A6" w:rsidRDefault="001712A6" w:rsidP="001712A6">
      <w:pPr>
        <w:pStyle w:val="Corpsdetexte"/>
      </w:pPr>
      <w:r>
        <w:t>Les flux sont basés sur le format PDF accompagné de métadonnées au format XML. Les couples de fichiers PDF+XML sont associés dans des fichiers ZIP ou 7ZIP.</w:t>
      </w:r>
    </w:p>
    <w:p w14:paraId="786C10A5" w14:textId="77777777" w:rsidR="001712A6" w:rsidRDefault="001712A6" w:rsidP="001712A6">
      <w:pPr>
        <w:pStyle w:val="Corpsdetexte"/>
      </w:pPr>
      <w:r>
        <w:t xml:space="preserve">Les fichiers produits sont envoyés via un moniteur de transferts de fichiers </w:t>
      </w:r>
      <w:r w:rsidRPr="005418E8">
        <w:t>CFT (PELICAN)</w:t>
      </w:r>
      <w:r>
        <w:t xml:space="preserve">, à travers une liaison VPN, vers le titulaire en charge du Centre de Services Editiques. </w:t>
      </w:r>
    </w:p>
    <w:p w14:paraId="3F55896C" w14:textId="6F62E219" w:rsidR="00E12AC6" w:rsidRPr="00B41C5D" w:rsidRDefault="001712A6" w:rsidP="00E12AC6">
      <w:pPr>
        <w:pStyle w:val="Corpsdetexte"/>
        <w:ind w:left="284" w:hanging="284"/>
        <w:jc w:val="left"/>
        <w:rPr>
          <w:rFonts w:cs="Open Sans"/>
        </w:rPr>
      </w:pPr>
      <w:r w:rsidRPr="00B41C5D">
        <w:rPr>
          <w:rFonts w:cs="Open Sans"/>
        </w:rPr>
        <w:t>Les informations de retour suivent le chemin inverse. Elles sont produites lors :</w:t>
      </w:r>
      <w:r w:rsidR="00AD78FF" w:rsidRPr="00B41C5D">
        <w:rPr>
          <w:rFonts w:cs="Open Sans"/>
        </w:rPr>
        <w:br/>
        <w:t xml:space="preserve">- </w:t>
      </w:r>
      <w:r w:rsidRPr="00B41C5D">
        <w:rPr>
          <w:rFonts w:cs="Open Sans"/>
        </w:rPr>
        <w:t>de la réception d’un lot</w:t>
      </w:r>
      <w:r w:rsidR="00F721B4" w:rsidRPr="00B41C5D">
        <w:rPr>
          <w:rFonts w:cs="Open Sans"/>
        </w:rPr>
        <w:t>,</w:t>
      </w:r>
      <w:r w:rsidR="00AD78FF" w:rsidRPr="00B41C5D">
        <w:rPr>
          <w:rFonts w:cs="Open Sans"/>
        </w:rPr>
        <w:br/>
        <w:t xml:space="preserve">- </w:t>
      </w:r>
      <w:r w:rsidRPr="00B41C5D">
        <w:rPr>
          <w:rFonts w:cs="Open Sans"/>
        </w:rPr>
        <w:t>du dépôt poste ou mise à disposition pour routage interne à l’AP-HP</w:t>
      </w:r>
      <w:r w:rsidR="00F721B4" w:rsidRPr="00B41C5D">
        <w:rPr>
          <w:rFonts w:cs="Open Sans"/>
        </w:rPr>
        <w:t>,</w:t>
      </w:r>
      <w:r w:rsidR="00AD78FF" w:rsidRPr="00B41C5D">
        <w:rPr>
          <w:rFonts w:cs="Open Sans"/>
        </w:rPr>
        <w:br/>
        <w:t xml:space="preserve">- </w:t>
      </w:r>
      <w:r w:rsidRPr="00B41C5D">
        <w:rPr>
          <w:rFonts w:cs="Open Sans"/>
        </w:rPr>
        <w:t>d’un retour d’information de PND</w:t>
      </w:r>
      <w:r w:rsidR="00F721B4" w:rsidRPr="00B41C5D">
        <w:rPr>
          <w:rFonts w:cs="Open Sans"/>
        </w:rPr>
        <w:t>,</w:t>
      </w:r>
      <w:r w:rsidR="00AD78FF" w:rsidRPr="00B41C5D">
        <w:rPr>
          <w:rFonts w:cs="Open Sans"/>
        </w:rPr>
        <w:br/>
        <w:t xml:space="preserve">- </w:t>
      </w:r>
      <w:r w:rsidRPr="00B41C5D">
        <w:rPr>
          <w:rFonts w:cs="Open Sans"/>
        </w:rPr>
        <w:t>de la mise à disposition de fichiers « preuves de dépôt poste électroniques »</w:t>
      </w:r>
      <w:r w:rsidR="00F721B4" w:rsidRPr="00B41C5D">
        <w:rPr>
          <w:rFonts w:cs="Open Sans"/>
        </w:rPr>
        <w:t>,</w:t>
      </w:r>
      <w:r w:rsidR="00AD78FF" w:rsidRPr="00B41C5D">
        <w:rPr>
          <w:rFonts w:cs="Open Sans"/>
        </w:rPr>
        <w:br/>
        <w:t xml:space="preserve">- </w:t>
      </w:r>
      <w:r w:rsidRPr="00B41C5D">
        <w:rPr>
          <w:rFonts w:cs="Open Sans"/>
        </w:rPr>
        <w:t>de rejets de production</w:t>
      </w:r>
      <w:r w:rsidR="00F721B4" w:rsidRPr="00B41C5D">
        <w:rPr>
          <w:rFonts w:cs="Open Sans"/>
        </w:rPr>
        <w:t>.</w:t>
      </w:r>
    </w:p>
    <w:p w14:paraId="4BF74E99" w14:textId="38FB44C6" w:rsidR="001712A6" w:rsidRPr="009B610D" w:rsidRDefault="001712A6" w:rsidP="00AD78FF">
      <w:pPr>
        <w:pStyle w:val="Corpsdetexte"/>
        <w:rPr>
          <w:rFonts w:cs="Open Sans"/>
        </w:rPr>
      </w:pPr>
      <w:r w:rsidRPr="009B610D">
        <w:rPr>
          <w:rFonts w:cs="Open Sans"/>
        </w:rPr>
        <w:t>La volumétrie annuelle actuelle (potentiellement évolutive à la hausse si reprise d’opérations de dépistage et/ou de nécessité de mailings voire de la prise en compte de nouvelles productions)</w:t>
      </w:r>
      <w:r w:rsidR="00F721B4" w:rsidRPr="009B610D">
        <w:rPr>
          <w:rFonts w:cs="Open Sans"/>
        </w:rPr>
        <w:t xml:space="preserve"> </w:t>
      </w:r>
      <w:r w:rsidRPr="009B610D">
        <w:rPr>
          <w:rFonts w:cs="Open Sans"/>
        </w:rPr>
        <w:t>est de :</w:t>
      </w:r>
    </w:p>
    <w:p w14:paraId="698F2E0E" w14:textId="39BD8730" w:rsidR="001712A6" w:rsidRPr="009B610D" w:rsidRDefault="001712A6" w:rsidP="001712A6">
      <w:pPr>
        <w:pStyle w:val="listesimple"/>
        <w:rPr>
          <w:rFonts w:ascii="Open Sans" w:hAnsi="Open Sans" w:cs="Open Sans"/>
        </w:rPr>
      </w:pPr>
      <w:r w:rsidRPr="009B610D">
        <w:rPr>
          <w:rFonts w:ascii="Open Sans" w:hAnsi="Open Sans" w:cs="Open Sans"/>
        </w:rPr>
        <w:t>760 000 plis</w:t>
      </w:r>
      <w:r w:rsidR="008937BF" w:rsidRPr="009B610D">
        <w:rPr>
          <w:rFonts w:ascii="Open Sans" w:hAnsi="Open Sans" w:cs="Open Sans"/>
        </w:rPr>
        <w:t xml:space="preserve"> </w:t>
      </w:r>
    </w:p>
    <w:p w14:paraId="34E6AD32" w14:textId="655640A7" w:rsidR="001712A6" w:rsidRPr="009B610D" w:rsidRDefault="001712A6" w:rsidP="001712A6">
      <w:pPr>
        <w:pStyle w:val="listesimple"/>
        <w:rPr>
          <w:rFonts w:ascii="Open Sans" w:hAnsi="Open Sans" w:cs="Open Sans"/>
        </w:rPr>
      </w:pPr>
      <w:bookmarkStart w:id="17" w:name="_Hlk201151915"/>
      <w:r w:rsidRPr="009B610D">
        <w:rPr>
          <w:rFonts w:ascii="Open Sans" w:hAnsi="Open Sans" w:cs="Open Sans"/>
        </w:rPr>
        <w:t>1 350 000 feuillets</w:t>
      </w:r>
      <w:bookmarkEnd w:id="17"/>
    </w:p>
    <w:p w14:paraId="5B5B1810" w14:textId="3EF55BEF" w:rsidR="00CA37E3" w:rsidRPr="009B610D" w:rsidRDefault="009F6D9D" w:rsidP="009F6D9D">
      <w:pPr>
        <w:pStyle w:val="Corpsdetexte"/>
        <w:rPr>
          <w:rFonts w:cs="Open Sans"/>
        </w:rPr>
      </w:pPr>
      <w:r w:rsidRPr="009B610D">
        <w:rPr>
          <w:rFonts w:cs="Open Sans"/>
        </w:rPr>
        <w:t>La production des flux AP-HP est relativement lissée</w:t>
      </w:r>
      <w:r w:rsidR="00D659EC" w:rsidRPr="009B610D">
        <w:rPr>
          <w:rFonts w:cs="Open Sans"/>
        </w:rPr>
        <w:t>, pas de pic sauf cas particulier</w:t>
      </w:r>
      <w:r w:rsidRPr="009B610D">
        <w:rPr>
          <w:rFonts w:cs="Open Sans"/>
        </w:rPr>
        <w:t>.</w:t>
      </w:r>
      <w:r w:rsidR="008711F3" w:rsidRPr="009B610D">
        <w:rPr>
          <w:rFonts w:cs="Open Sans"/>
        </w:rPr>
        <w:t xml:space="preserve"> Et des optimisations peuvent encore avoir lieu, par exemple le regroupement de certains flux quotidiens pour émission de lots tous les </w:t>
      </w:r>
      <w:r w:rsidR="00CA37E3" w:rsidRPr="009B610D">
        <w:rPr>
          <w:rFonts w:cs="Open Sans"/>
        </w:rPr>
        <w:t xml:space="preserve">2 </w:t>
      </w:r>
      <w:r w:rsidR="008711F3" w:rsidRPr="009B610D">
        <w:rPr>
          <w:rFonts w:cs="Open Sans"/>
        </w:rPr>
        <w:t xml:space="preserve">ou </w:t>
      </w:r>
      <w:r w:rsidR="00CA37E3" w:rsidRPr="009B610D">
        <w:rPr>
          <w:rFonts w:cs="Open Sans"/>
        </w:rPr>
        <w:t>3 jours</w:t>
      </w:r>
      <w:r w:rsidR="008711F3" w:rsidRPr="009B610D">
        <w:rPr>
          <w:rFonts w:cs="Open Sans"/>
        </w:rPr>
        <w:t>.</w:t>
      </w:r>
    </w:p>
    <w:p w14:paraId="65D4B53E" w14:textId="55B68508" w:rsidR="002C10E9" w:rsidRPr="00B41C5D" w:rsidRDefault="002C10E9" w:rsidP="002C10E9">
      <w:pPr>
        <w:pStyle w:val="Corpsdetexte"/>
        <w:rPr>
          <w:rFonts w:cs="Open Sans"/>
        </w:rPr>
      </w:pPr>
      <w:r w:rsidRPr="009B610D">
        <w:rPr>
          <w:rFonts w:cs="Open Sans"/>
        </w:rPr>
        <w:t>L’infrastructure de communication actuelle supporte une taille globale des fichiers transmis quotidiennement</w:t>
      </w:r>
      <w:r w:rsidR="009B610D" w:rsidRPr="009B610D">
        <w:rPr>
          <w:rFonts w:cs="Open Sans"/>
        </w:rPr>
        <w:t xml:space="preserve"> de </w:t>
      </w:r>
      <w:r w:rsidR="00772F42" w:rsidRPr="009B610D">
        <w:rPr>
          <w:rFonts w:cs="Open Sans"/>
        </w:rPr>
        <w:t>100 à 150 Mo.</w:t>
      </w:r>
    </w:p>
    <w:p w14:paraId="6DE43AFC" w14:textId="21E45EFA" w:rsidR="00F721B4" w:rsidRDefault="00F721B4" w:rsidP="00F721B4">
      <w:pPr>
        <w:pStyle w:val="Titre1"/>
      </w:pPr>
      <w:bookmarkStart w:id="18" w:name="_Toc201153270"/>
      <w:r w:rsidRPr="00F721B4">
        <w:t>DEFINITION DU BESOIN</w:t>
      </w:r>
      <w:bookmarkEnd w:id="18"/>
    </w:p>
    <w:p w14:paraId="127806D2" w14:textId="2DE552AF" w:rsidR="00F721B4" w:rsidRDefault="00F721B4" w:rsidP="00D02CB0">
      <w:pPr>
        <w:pStyle w:val="Titre2"/>
      </w:pPr>
      <w:bookmarkStart w:id="19" w:name="_Toc201153271"/>
      <w:r>
        <w:t>Description générale des services attendus</w:t>
      </w:r>
      <w:bookmarkEnd w:id="19"/>
    </w:p>
    <w:p w14:paraId="6C65D336" w14:textId="77777777" w:rsidR="00E12AC6" w:rsidRDefault="00D02CB0" w:rsidP="00E12AC6">
      <w:pPr>
        <w:pStyle w:val="Corpsdetexte"/>
      </w:pPr>
      <w:r>
        <w:t xml:space="preserve">Issus de leurs traitements logiciels respectifs, les documents courriers sont émis directement vers le Centre de Services Editiques qui va les traiter en termes de </w:t>
      </w:r>
      <w:r w:rsidRPr="00E12AC6">
        <w:t>production</w:t>
      </w:r>
      <w:r>
        <w:t xml:space="preserve"> éditique</w:t>
      </w:r>
      <w:r w:rsidR="00E12AC6">
        <w:t>.</w:t>
      </w:r>
    </w:p>
    <w:p w14:paraId="12962AC7" w14:textId="552D9AE9" w:rsidR="00D02CB0" w:rsidRDefault="00E12AC6" w:rsidP="00E12AC6">
      <w:pPr>
        <w:pStyle w:val="Corpsdetexte"/>
        <w:ind w:left="284" w:hanging="284"/>
        <w:jc w:val="left"/>
      </w:pPr>
      <w:r>
        <w:t>Il</w:t>
      </w:r>
      <w:r w:rsidR="00D02CB0">
        <w:t xml:space="preserve"> exécut</w:t>
      </w:r>
      <w:r>
        <w:t>e</w:t>
      </w:r>
      <w:r w:rsidR="00D02CB0">
        <w:t xml:space="preserve"> les fonctions suivantes :</w:t>
      </w:r>
      <w:r>
        <w:br/>
        <w:t xml:space="preserve">- </w:t>
      </w:r>
      <w:r w:rsidR="00D02CB0">
        <w:t>mise en œuvre de la prestation éditique,</w:t>
      </w:r>
      <w:r>
        <w:br/>
        <w:t xml:space="preserve">- </w:t>
      </w:r>
      <w:r w:rsidR="00D02CB0">
        <w:t>prise en charge des documents à produire,</w:t>
      </w:r>
      <w:r>
        <w:br/>
        <w:t xml:space="preserve">- </w:t>
      </w:r>
      <w:r w:rsidR="00D02CB0">
        <w:t>impression,</w:t>
      </w:r>
      <w:r>
        <w:br/>
        <w:t xml:space="preserve">- </w:t>
      </w:r>
      <w:r w:rsidR="00D02CB0">
        <w:t>mise sous pli,</w:t>
      </w:r>
      <w:r>
        <w:br/>
        <w:t xml:space="preserve">- </w:t>
      </w:r>
      <w:r w:rsidR="00D02CB0">
        <w:t>affranchissement,</w:t>
      </w:r>
      <w:r>
        <w:br/>
        <w:t xml:space="preserve">- </w:t>
      </w:r>
      <w:r w:rsidR="00D02CB0">
        <w:t>gestion des dépôts postaux,</w:t>
      </w:r>
      <w:r>
        <w:br/>
        <w:t xml:space="preserve">- </w:t>
      </w:r>
      <w:r w:rsidR="00D02CB0">
        <w:t>pilotage et suivi de la production.</w:t>
      </w:r>
    </w:p>
    <w:p w14:paraId="163D8B7B" w14:textId="4BC6D588" w:rsidR="00D02CB0" w:rsidRDefault="00D02CB0" w:rsidP="00D02CB0">
      <w:pPr>
        <w:pStyle w:val="Corpsdetexte"/>
      </w:pPr>
      <w:r w:rsidRPr="009B610D">
        <w:t>Le Centre de Services Éditiques doit être en capacité de gérer les lettres recommandées, dématérialisées ou pas, voire les produits tracés : création, dépôt, suivi, historisation…</w:t>
      </w:r>
    </w:p>
    <w:p w14:paraId="521CA44E" w14:textId="77777777" w:rsidR="00D02CB0" w:rsidRDefault="00D02CB0" w:rsidP="00D02CB0">
      <w:pPr>
        <w:pStyle w:val="Corpsdetexte"/>
      </w:pPr>
      <w:r w:rsidRPr="00B66824">
        <w:t>L’envoi affranchi des courriers de l’AP-HP est obligatoirement effectué en utilisant les services postaux français</w:t>
      </w:r>
      <w:r>
        <w:t>.</w:t>
      </w:r>
    </w:p>
    <w:p w14:paraId="2FD82E23" w14:textId="590C2BFE" w:rsidR="00D02CB0" w:rsidRPr="00B41C5D" w:rsidRDefault="00D02CB0" w:rsidP="00D02CB0">
      <w:pPr>
        <w:pStyle w:val="Corpsdetexte"/>
        <w:rPr>
          <w:rFonts w:cs="Open Sans"/>
        </w:rPr>
      </w:pPr>
      <w:r w:rsidRPr="00B41C5D">
        <w:rPr>
          <w:rFonts w:cs="Open Sans"/>
        </w:rPr>
        <w:t>La prestation éditique demandée doit impérativement faire en sorte d’affranchir les lots et le courrier égrené</w:t>
      </w:r>
      <w:r w:rsidR="009F6D9D" w:rsidRPr="00B41C5D">
        <w:rPr>
          <w:rFonts w:cs="Open Sans"/>
        </w:rPr>
        <w:t xml:space="preserve"> </w:t>
      </w:r>
      <w:r w:rsidRPr="00B41C5D">
        <w:rPr>
          <w:rFonts w:cs="Open Sans"/>
        </w:rPr>
        <w:t xml:space="preserve">au tarif industriel auquel l’AP-HP à accès en détenant son propre contrat de courrier industriel avec la poste française. Ce contrat donne actuellement accès au CI V3. Durant le marché, le contrat de </w:t>
      </w:r>
      <w:r w:rsidRPr="00B41C5D">
        <w:rPr>
          <w:rFonts w:cs="Open Sans"/>
        </w:rPr>
        <w:lastRenderedPageBreak/>
        <w:t>l’AP</w:t>
      </w:r>
      <w:r w:rsidRPr="00B41C5D">
        <w:rPr>
          <w:rFonts w:cs="Open Sans"/>
        </w:rPr>
        <w:noBreakHyphen/>
        <w:t>HP pourra donner accès à la tarification CI PREMIUM. Dans les deux cas la prestation éditique doit être compatible.</w:t>
      </w:r>
    </w:p>
    <w:p w14:paraId="3493D236" w14:textId="77777777" w:rsidR="00E12AC6" w:rsidRPr="00B41C5D" w:rsidRDefault="00D02CB0" w:rsidP="00D02CB0">
      <w:pPr>
        <w:pStyle w:val="ttedeliste"/>
        <w:rPr>
          <w:rFonts w:ascii="Open Sans" w:hAnsi="Open Sans" w:cs="Open Sans"/>
        </w:rPr>
      </w:pPr>
      <w:r w:rsidRPr="00B41C5D">
        <w:rPr>
          <w:rFonts w:ascii="Open Sans" w:hAnsi="Open Sans" w:cs="Open Sans"/>
        </w:rPr>
        <w:t>Les objectifs sont de réduire significativement les coûts d’affranchissements et d’avoir une productivité efficiente. Les moyens de production doivent suivre cet objectif majeur, en adéquation avec les volumes à produire et les délais à satisfaire</w:t>
      </w:r>
      <w:r w:rsidR="00E12AC6" w:rsidRPr="00B41C5D">
        <w:rPr>
          <w:rFonts w:ascii="Open Sans" w:hAnsi="Open Sans" w:cs="Open Sans"/>
        </w:rPr>
        <w:t>.</w:t>
      </w:r>
    </w:p>
    <w:p w14:paraId="568EB5AB" w14:textId="542E71F8" w:rsidR="00D02CB0" w:rsidRPr="00B41C5D" w:rsidRDefault="00E12AC6" w:rsidP="00B41C5D">
      <w:pPr>
        <w:pStyle w:val="ttedeliste"/>
        <w:tabs>
          <w:tab w:val="left" w:pos="567"/>
        </w:tabs>
        <w:ind w:left="284" w:hanging="284"/>
        <w:jc w:val="left"/>
        <w:rPr>
          <w:rFonts w:ascii="Open Sans" w:hAnsi="Open Sans" w:cs="Open Sans"/>
        </w:rPr>
      </w:pPr>
      <w:r w:rsidRPr="00B41C5D">
        <w:rPr>
          <w:rFonts w:ascii="Open Sans" w:hAnsi="Open Sans" w:cs="Open Sans"/>
        </w:rPr>
        <w:t>E</w:t>
      </w:r>
      <w:r w:rsidR="00D02CB0" w:rsidRPr="00B41C5D">
        <w:rPr>
          <w:rFonts w:ascii="Open Sans" w:hAnsi="Open Sans" w:cs="Open Sans"/>
        </w:rPr>
        <w:t>n tenant compte :</w:t>
      </w:r>
      <w:r w:rsidRPr="00B41C5D">
        <w:rPr>
          <w:rFonts w:ascii="Open Sans" w:hAnsi="Open Sans" w:cs="Open Sans"/>
        </w:rPr>
        <w:br/>
        <w:t>-</w:t>
      </w:r>
      <w:r w:rsidR="00B41C5D">
        <w:rPr>
          <w:rFonts w:ascii="Open Sans" w:hAnsi="Open Sans" w:cs="Open Sans"/>
        </w:rPr>
        <w:tab/>
      </w:r>
      <w:r w:rsidR="00D02CB0" w:rsidRPr="00B41C5D">
        <w:rPr>
          <w:rFonts w:ascii="Open Sans" w:hAnsi="Open Sans" w:cs="Open Sans"/>
        </w:rPr>
        <w:t>des pics de production,</w:t>
      </w:r>
      <w:r w:rsidRPr="00B41C5D">
        <w:rPr>
          <w:rFonts w:ascii="Open Sans" w:hAnsi="Open Sans" w:cs="Open Sans"/>
        </w:rPr>
        <w:br/>
        <w:t>-</w:t>
      </w:r>
      <w:r w:rsidR="00B41C5D">
        <w:rPr>
          <w:rFonts w:ascii="Open Sans" w:hAnsi="Open Sans" w:cs="Open Sans"/>
        </w:rPr>
        <w:tab/>
      </w:r>
      <w:r w:rsidR="00D02CB0" w:rsidRPr="00B41C5D">
        <w:rPr>
          <w:rFonts w:ascii="Open Sans" w:hAnsi="Open Sans" w:cs="Open Sans"/>
        </w:rPr>
        <w:t>des exigences requises par le routeur postal.</w:t>
      </w:r>
    </w:p>
    <w:p w14:paraId="3BDC3E08" w14:textId="77777777" w:rsidR="00D02CB0" w:rsidRPr="00B41C5D" w:rsidRDefault="00D02CB0" w:rsidP="00D02CB0">
      <w:pPr>
        <w:pStyle w:val="Corpsdetexte"/>
        <w:rPr>
          <w:rFonts w:cs="Open Sans"/>
        </w:rPr>
      </w:pPr>
      <w:r w:rsidRPr="00B41C5D">
        <w:rPr>
          <w:rFonts w:cs="Open Sans"/>
        </w:rPr>
        <w:t>Les transmissions de fichiers informatiques se font par transferts CFT (PELICAN) sécurisés sous forme de fichiers zippés (ZIP ou 7ZIP). Et le Titulaire met en place une liaison VPN avec l’AP</w:t>
      </w:r>
      <w:r w:rsidRPr="00B41C5D">
        <w:rPr>
          <w:rFonts w:cs="Open Sans"/>
        </w:rPr>
        <w:softHyphen/>
      </w:r>
      <w:r w:rsidRPr="00B41C5D">
        <w:rPr>
          <w:rFonts w:cs="Open Sans"/>
        </w:rPr>
        <w:noBreakHyphen/>
        <w:t>HP. Voir les détails dans l’annexe au présent CCTP relative au contrat d’interface.</w:t>
      </w:r>
    </w:p>
    <w:p w14:paraId="0B449BBD" w14:textId="6C5B9381" w:rsidR="00D02CB0" w:rsidRPr="00B41C5D" w:rsidRDefault="00D02CB0" w:rsidP="00D02CB0">
      <w:pPr>
        <w:pStyle w:val="Corpsdetexte"/>
        <w:rPr>
          <w:rFonts w:cs="Open Sans"/>
        </w:rPr>
      </w:pPr>
      <w:r w:rsidRPr="00B41C5D">
        <w:rPr>
          <w:rFonts w:cs="Open Sans"/>
        </w:rPr>
        <w:t>Le processus de facturation, au sujet duquel il est essentiel d’éviter erreurs et délais, doit être industrialisé avec reprise automatisé</w:t>
      </w:r>
      <w:r w:rsidR="0049553A">
        <w:rPr>
          <w:rFonts w:cs="Open Sans"/>
        </w:rPr>
        <w:t>e</w:t>
      </w:r>
      <w:r w:rsidRPr="00B41C5D">
        <w:rPr>
          <w:rFonts w:cs="Open Sans"/>
        </w:rPr>
        <w:t xml:space="preserve"> des données de production dans le système de gestion du titulaire, </w:t>
      </w:r>
      <w:r w:rsidRPr="009B610D">
        <w:rPr>
          <w:rFonts w:cs="Open Sans"/>
        </w:rPr>
        <w:t>y compris en cas de gestion des spécificités de l’AP-HP (toute fourniture de données déclaratives est prohibée).</w:t>
      </w:r>
    </w:p>
    <w:p w14:paraId="21AA54F9" w14:textId="46DDDE07" w:rsidR="00F721B4" w:rsidRDefault="00F721B4" w:rsidP="00D02CB0">
      <w:pPr>
        <w:pStyle w:val="Titre2"/>
      </w:pPr>
      <w:bookmarkStart w:id="20" w:name="_Toc201153272"/>
      <w:r>
        <w:t>Filières et volumétrie</w:t>
      </w:r>
      <w:bookmarkEnd w:id="20"/>
    </w:p>
    <w:p w14:paraId="3D935217" w14:textId="77777777" w:rsidR="00D02CB0" w:rsidRPr="00D02CB0" w:rsidRDefault="00D02CB0" w:rsidP="00D02CB0">
      <w:pPr>
        <w:pStyle w:val="Corpsdetexte"/>
      </w:pPr>
      <w:r w:rsidRPr="00D02CB0">
        <w:t>Les filières à reprendre sont présentées avec leurs estimations volumétriques, en moyennes annuelles lissées sur la durée du marché :</w:t>
      </w:r>
    </w:p>
    <w:tbl>
      <w:tblPr>
        <w:tblW w:w="9498" w:type="dxa"/>
        <w:tblInd w:w="-10" w:type="dxa"/>
        <w:tblCellMar>
          <w:left w:w="70" w:type="dxa"/>
          <w:right w:w="70" w:type="dxa"/>
        </w:tblCellMar>
        <w:tblLook w:val="04A0" w:firstRow="1" w:lastRow="0" w:firstColumn="1" w:lastColumn="0" w:noHBand="0" w:noVBand="1"/>
      </w:tblPr>
      <w:tblGrid>
        <w:gridCol w:w="851"/>
        <w:gridCol w:w="5103"/>
        <w:gridCol w:w="1559"/>
        <w:gridCol w:w="1985"/>
      </w:tblGrid>
      <w:tr w:rsidR="00D02CB0" w:rsidRPr="00BA4DA0" w14:paraId="4D5BA2F5" w14:textId="77777777" w:rsidTr="00D02CB0">
        <w:trPr>
          <w:trHeight w:val="340"/>
          <w:tblHeader/>
        </w:trPr>
        <w:tc>
          <w:tcPr>
            <w:tcW w:w="851"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7C10436" w14:textId="77777777" w:rsidR="00D02CB0" w:rsidRPr="00BA4DA0" w:rsidRDefault="00D02CB0" w:rsidP="00943D70">
            <w:pPr>
              <w:jc w:val="center"/>
              <w:rPr>
                <w:rFonts w:cs="Calibri"/>
                <w:b/>
                <w:bCs/>
              </w:rPr>
            </w:pPr>
            <w:r w:rsidRPr="00BA4DA0">
              <w:rPr>
                <w:rFonts w:cs="Calibri"/>
                <w:b/>
                <w:bCs/>
              </w:rPr>
              <w:t>Filière</w:t>
            </w:r>
          </w:p>
        </w:tc>
        <w:tc>
          <w:tcPr>
            <w:tcW w:w="5103" w:type="dxa"/>
            <w:tcBorders>
              <w:top w:val="single" w:sz="8" w:space="0" w:color="auto"/>
              <w:left w:val="nil"/>
              <w:bottom w:val="single" w:sz="8" w:space="0" w:color="auto"/>
              <w:right w:val="single" w:sz="8" w:space="0" w:color="auto"/>
            </w:tcBorders>
            <w:shd w:val="clear" w:color="000000" w:fill="D9D9D9"/>
            <w:vAlign w:val="center"/>
            <w:hideMark/>
          </w:tcPr>
          <w:p w14:paraId="22CB6CE0" w14:textId="77777777" w:rsidR="00D02CB0" w:rsidRPr="00BA4DA0" w:rsidRDefault="00D02CB0" w:rsidP="00943D70">
            <w:pPr>
              <w:jc w:val="center"/>
              <w:rPr>
                <w:rFonts w:cs="Calibri"/>
                <w:b/>
                <w:bCs/>
              </w:rPr>
            </w:pPr>
            <w:r w:rsidRPr="00BA4DA0">
              <w:rPr>
                <w:rFonts w:cs="Calibri"/>
                <w:b/>
                <w:bCs/>
              </w:rPr>
              <w:t>Type de document</w:t>
            </w:r>
          </w:p>
        </w:tc>
        <w:tc>
          <w:tcPr>
            <w:tcW w:w="1559" w:type="dxa"/>
            <w:tcBorders>
              <w:top w:val="single" w:sz="8" w:space="0" w:color="auto"/>
              <w:left w:val="nil"/>
              <w:bottom w:val="single" w:sz="8" w:space="0" w:color="auto"/>
              <w:right w:val="single" w:sz="8" w:space="0" w:color="auto"/>
            </w:tcBorders>
            <w:shd w:val="clear" w:color="000000" w:fill="D9D9D9"/>
            <w:vAlign w:val="center"/>
            <w:hideMark/>
          </w:tcPr>
          <w:p w14:paraId="711C9E5F" w14:textId="77777777" w:rsidR="00D02CB0" w:rsidRPr="00BA4DA0" w:rsidRDefault="00D02CB0" w:rsidP="00943D70">
            <w:pPr>
              <w:jc w:val="center"/>
              <w:rPr>
                <w:rFonts w:cs="Calibri"/>
                <w:b/>
                <w:bCs/>
              </w:rPr>
            </w:pPr>
            <w:r w:rsidRPr="00BA4DA0">
              <w:rPr>
                <w:rFonts w:cs="Calibri"/>
                <w:b/>
                <w:bCs/>
              </w:rPr>
              <w:t>Nombre de plis /an</w:t>
            </w:r>
          </w:p>
        </w:tc>
        <w:tc>
          <w:tcPr>
            <w:tcW w:w="1985" w:type="dxa"/>
            <w:tcBorders>
              <w:top w:val="single" w:sz="8" w:space="0" w:color="auto"/>
              <w:left w:val="nil"/>
              <w:bottom w:val="single" w:sz="8" w:space="0" w:color="auto"/>
              <w:right w:val="single" w:sz="8" w:space="0" w:color="auto"/>
            </w:tcBorders>
            <w:shd w:val="clear" w:color="000000" w:fill="D9D9D9"/>
            <w:vAlign w:val="center"/>
            <w:hideMark/>
          </w:tcPr>
          <w:p w14:paraId="71F489E9" w14:textId="77777777" w:rsidR="00D02CB0" w:rsidRPr="00BA4DA0" w:rsidRDefault="00D02CB0" w:rsidP="00943D70">
            <w:pPr>
              <w:jc w:val="center"/>
              <w:rPr>
                <w:rFonts w:cs="Calibri"/>
                <w:b/>
                <w:bCs/>
              </w:rPr>
            </w:pPr>
            <w:r w:rsidRPr="00BA4DA0">
              <w:rPr>
                <w:rFonts w:cs="Calibri"/>
                <w:b/>
                <w:bCs/>
              </w:rPr>
              <w:t>Nombre de feuillets /an</w:t>
            </w:r>
          </w:p>
        </w:tc>
      </w:tr>
      <w:tr w:rsidR="00D02CB0" w:rsidRPr="00BA4DA0" w14:paraId="50CB005C"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877FD2" w14:textId="77777777" w:rsidR="00D02CB0" w:rsidRPr="00BA4DA0" w:rsidRDefault="00D02CB0" w:rsidP="00943D70">
            <w:pPr>
              <w:rPr>
                <w:rFonts w:cs="Calibri"/>
                <w:b/>
                <w:bCs/>
              </w:rPr>
            </w:pPr>
            <w:r w:rsidRPr="00BA4DA0">
              <w:rPr>
                <w:rFonts w:cs="Calibri"/>
                <w:b/>
                <w:bCs/>
              </w:rPr>
              <w:t>F0</w:t>
            </w:r>
          </w:p>
        </w:tc>
        <w:tc>
          <w:tcPr>
            <w:tcW w:w="5103" w:type="dxa"/>
            <w:tcBorders>
              <w:top w:val="nil"/>
              <w:left w:val="nil"/>
              <w:bottom w:val="single" w:sz="4" w:space="0" w:color="auto"/>
              <w:right w:val="single" w:sz="4" w:space="0" w:color="auto"/>
            </w:tcBorders>
            <w:shd w:val="clear" w:color="auto" w:fill="auto"/>
            <w:noWrap/>
            <w:vAlign w:val="center"/>
            <w:hideMark/>
          </w:tcPr>
          <w:p w14:paraId="1C3F8DEF" w14:textId="77777777" w:rsidR="00D02CB0" w:rsidRPr="00BA4DA0" w:rsidRDefault="00D02CB0" w:rsidP="00943D70">
            <w:pPr>
              <w:rPr>
                <w:rFonts w:cs="Calibri"/>
              </w:rPr>
            </w:pPr>
            <w:r w:rsidRPr="00BA4DA0">
              <w:rPr>
                <w:rFonts w:cs="Calibri"/>
              </w:rPr>
              <w:t>ASAP DL</w:t>
            </w:r>
          </w:p>
        </w:tc>
        <w:tc>
          <w:tcPr>
            <w:tcW w:w="1559" w:type="dxa"/>
            <w:tcBorders>
              <w:top w:val="nil"/>
              <w:left w:val="nil"/>
              <w:bottom w:val="single" w:sz="4" w:space="0" w:color="auto"/>
              <w:right w:val="single" w:sz="4" w:space="0" w:color="auto"/>
            </w:tcBorders>
            <w:shd w:val="clear" w:color="auto" w:fill="auto"/>
            <w:noWrap/>
            <w:vAlign w:val="center"/>
            <w:hideMark/>
          </w:tcPr>
          <w:p w14:paraId="4D34B9DA" w14:textId="77777777" w:rsidR="00D02CB0" w:rsidRPr="00BA4DA0" w:rsidRDefault="00D02CB0" w:rsidP="00943D70">
            <w:pPr>
              <w:jc w:val="right"/>
              <w:rPr>
                <w:rFonts w:cs="Calibri"/>
              </w:rPr>
            </w:pPr>
            <w:r w:rsidRPr="00BA4DA0">
              <w:rPr>
                <w:rFonts w:cs="Calibri"/>
              </w:rPr>
              <w:t>425 000</w:t>
            </w:r>
          </w:p>
        </w:tc>
        <w:tc>
          <w:tcPr>
            <w:tcW w:w="1985" w:type="dxa"/>
            <w:tcBorders>
              <w:top w:val="nil"/>
              <w:left w:val="nil"/>
              <w:bottom w:val="single" w:sz="4" w:space="0" w:color="auto"/>
              <w:right w:val="single" w:sz="4" w:space="0" w:color="auto"/>
            </w:tcBorders>
            <w:shd w:val="clear" w:color="auto" w:fill="auto"/>
            <w:noWrap/>
            <w:vAlign w:val="center"/>
            <w:hideMark/>
          </w:tcPr>
          <w:p w14:paraId="7ACACA97" w14:textId="77777777" w:rsidR="00D02CB0" w:rsidRPr="00BA4DA0" w:rsidRDefault="00D02CB0" w:rsidP="00943D70">
            <w:pPr>
              <w:jc w:val="right"/>
              <w:rPr>
                <w:rFonts w:cs="Calibri"/>
              </w:rPr>
            </w:pPr>
            <w:r w:rsidRPr="00BA4DA0">
              <w:rPr>
                <w:rFonts w:cs="Calibri"/>
              </w:rPr>
              <w:t>450 000</w:t>
            </w:r>
          </w:p>
        </w:tc>
      </w:tr>
      <w:tr w:rsidR="00D02CB0" w:rsidRPr="00BA4DA0" w14:paraId="7AFE3CA0"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D9ACDB" w14:textId="77777777" w:rsidR="00D02CB0" w:rsidRPr="00BA4DA0" w:rsidRDefault="00D02CB0" w:rsidP="00943D70">
            <w:pPr>
              <w:rPr>
                <w:rFonts w:cs="Calibri"/>
                <w:b/>
                <w:bCs/>
              </w:rPr>
            </w:pPr>
            <w:r w:rsidRPr="00BA4DA0">
              <w:rPr>
                <w:rFonts w:cs="Calibri"/>
                <w:b/>
                <w:bCs/>
              </w:rPr>
              <w:t>F1</w:t>
            </w:r>
          </w:p>
        </w:tc>
        <w:tc>
          <w:tcPr>
            <w:tcW w:w="5103" w:type="dxa"/>
            <w:tcBorders>
              <w:top w:val="nil"/>
              <w:left w:val="nil"/>
              <w:bottom w:val="single" w:sz="4" w:space="0" w:color="auto"/>
              <w:right w:val="single" w:sz="4" w:space="0" w:color="auto"/>
            </w:tcBorders>
            <w:shd w:val="clear" w:color="auto" w:fill="auto"/>
            <w:noWrap/>
            <w:vAlign w:val="center"/>
            <w:hideMark/>
          </w:tcPr>
          <w:p w14:paraId="37C90275" w14:textId="77777777" w:rsidR="00D02CB0" w:rsidRPr="00BA4DA0" w:rsidRDefault="00D02CB0" w:rsidP="00943D70">
            <w:pPr>
              <w:rPr>
                <w:rFonts w:cs="Calibri"/>
              </w:rPr>
            </w:pPr>
            <w:r w:rsidRPr="00BA4DA0">
              <w:rPr>
                <w:rFonts w:cs="Calibri"/>
              </w:rPr>
              <w:t>Pré factures et quittances</w:t>
            </w:r>
          </w:p>
        </w:tc>
        <w:tc>
          <w:tcPr>
            <w:tcW w:w="1559" w:type="dxa"/>
            <w:tcBorders>
              <w:top w:val="nil"/>
              <w:left w:val="nil"/>
              <w:bottom w:val="single" w:sz="4" w:space="0" w:color="auto"/>
              <w:right w:val="single" w:sz="4" w:space="0" w:color="auto"/>
            </w:tcBorders>
            <w:shd w:val="clear" w:color="auto" w:fill="auto"/>
            <w:noWrap/>
            <w:vAlign w:val="center"/>
            <w:hideMark/>
          </w:tcPr>
          <w:p w14:paraId="3570257C" w14:textId="77777777" w:rsidR="00D02CB0" w:rsidRPr="00BA4DA0" w:rsidRDefault="00D02CB0" w:rsidP="00943D70">
            <w:pPr>
              <w:jc w:val="right"/>
              <w:rPr>
                <w:rFonts w:cs="Calibri"/>
              </w:rPr>
            </w:pPr>
            <w:r w:rsidRPr="00BA4DA0">
              <w:rPr>
                <w:rFonts w:cs="Calibri"/>
              </w:rPr>
              <w:t>25 000</w:t>
            </w:r>
          </w:p>
        </w:tc>
        <w:tc>
          <w:tcPr>
            <w:tcW w:w="1985" w:type="dxa"/>
            <w:tcBorders>
              <w:top w:val="nil"/>
              <w:left w:val="nil"/>
              <w:bottom w:val="single" w:sz="4" w:space="0" w:color="auto"/>
              <w:right w:val="single" w:sz="4" w:space="0" w:color="auto"/>
            </w:tcBorders>
            <w:shd w:val="clear" w:color="auto" w:fill="auto"/>
            <w:noWrap/>
            <w:vAlign w:val="center"/>
            <w:hideMark/>
          </w:tcPr>
          <w:p w14:paraId="2A5ADDDD" w14:textId="77777777" w:rsidR="00D02CB0" w:rsidRPr="00BA4DA0" w:rsidRDefault="00D02CB0" w:rsidP="00943D70">
            <w:pPr>
              <w:jc w:val="right"/>
              <w:rPr>
                <w:rFonts w:cs="Calibri"/>
              </w:rPr>
            </w:pPr>
            <w:r w:rsidRPr="00BA4DA0">
              <w:rPr>
                <w:rFonts w:cs="Calibri"/>
              </w:rPr>
              <w:t>25 000</w:t>
            </w:r>
          </w:p>
        </w:tc>
      </w:tr>
      <w:tr w:rsidR="00D02CB0" w:rsidRPr="00BA4DA0" w14:paraId="64F87163"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68C20F" w14:textId="77777777" w:rsidR="00D02CB0" w:rsidRPr="00BA4DA0" w:rsidRDefault="00D02CB0" w:rsidP="00943D70">
            <w:pPr>
              <w:rPr>
                <w:rFonts w:cs="Calibri"/>
                <w:b/>
                <w:bCs/>
              </w:rPr>
            </w:pPr>
            <w:r w:rsidRPr="00BA4DA0">
              <w:rPr>
                <w:rFonts w:cs="Calibri"/>
                <w:b/>
                <w:bCs/>
              </w:rPr>
              <w:t>F3</w:t>
            </w:r>
          </w:p>
        </w:tc>
        <w:tc>
          <w:tcPr>
            <w:tcW w:w="5103" w:type="dxa"/>
            <w:tcBorders>
              <w:top w:val="nil"/>
              <w:left w:val="nil"/>
              <w:bottom w:val="single" w:sz="4" w:space="0" w:color="auto"/>
              <w:right w:val="single" w:sz="4" w:space="0" w:color="auto"/>
            </w:tcBorders>
            <w:shd w:val="clear" w:color="auto" w:fill="auto"/>
            <w:noWrap/>
            <w:vAlign w:val="center"/>
            <w:hideMark/>
          </w:tcPr>
          <w:p w14:paraId="7BE97DB5" w14:textId="77777777" w:rsidR="00D02CB0" w:rsidRPr="00BA4DA0" w:rsidRDefault="00D02CB0" w:rsidP="00943D70">
            <w:pPr>
              <w:rPr>
                <w:rFonts w:cs="Calibri"/>
              </w:rPr>
            </w:pPr>
            <w:r w:rsidRPr="00BA4DA0">
              <w:rPr>
                <w:rFonts w:cs="Calibri"/>
              </w:rPr>
              <w:t>ASAP C4</w:t>
            </w:r>
          </w:p>
        </w:tc>
        <w:tc>
          <w:tcPr>
            <w:tcW w:w="1559" w:type="dxa"/>
            <w:tcBorders>
              <w:top w:val="nil"/>
              <w:left w:val="nil"/>
              <w:bottom w:val="single" w:sz="4" w:space="0" w:color="auto"/>
              <w:right w:val="single" w:sz="4" w:space="0" w:color="auto"/>
            </w:tcBorders>
            <w:shd w:val="clear" w:color="auto" w:fill="auto"/>
            <w:noWrap/>
            <w:vAlign w:val="center"/>
            <w:hideMark/>
          </w:tcPr>
          <w:p w14:paraId="478874CD" w14:textId="77777777" w:rsidR="00D02CB0" w:rsidRPr="00BA4DA0" w:rsidRDefault="00D02CB0" w:rsidP="00943D70">
            <w:pPr>
              <w:jc w:val="right"/>
              <w:rPr>
                <w:rFonts w:cs="Calibri"/>
              </w:rPr>
            </w:pPr>
            <w:r w:rsidRPr="00BA4DA0">
              <w:rPr>
                <w:rFonts w:cs="Calibri"/>
              </w:rPr>
              <w:t>62 000</w:t>
            </w:r>
          </w:p>
        </w:tc>
        <w:tc>
          <w:tcPr>
            <w:tcW w:w="1985" w:type="dxa"/>
            <w:tcBorders>
              <w:top w:val="nil"/>
              <w:left w:val="nil"/>
              <w:bottom w:val="single" w:sz="4" w:space="0" w:color="auto"/>
              <w:right w:val="single" w:sz="4" w:space="0" w:color="auto"/>
            </w:tcBorders>
            <w:shd w:val="clear" w:color="auto" w:fill="auto"/>
            <w:noWrap/>
            <w:vAlign w:val="center"/>
            <w:hideMark/>
          </w:tcPr>
          <w:p w14:paraId="58F5B39D" w14:textId="77777777" w:rsidR="00D02CB0" w:rsidRPr="00BA4DA0" w:rsidRDefault="00D02CB0" w:rsidP="00943D70">
            <w:pPr>
              <w:jc w:val="right"/>
              <w:rPr>
                <w:rFonts w:cs="Calibri"/>
              </w:rPr>
            </w:pPr>
            <w:r w:rsidRPr="00BA4DA0">
              <w:rPr>
                <w:rFonts w:cs="Calibri"/>
              </w:rPr>
              <w:t>480 000</w:t>
            </w:r>
          </w:p>
        </w:tc>
      </w:tr>
      <w:tr w:rsidR="00D02CB0" w:rsidRPr="00BA4DA0" w14:paraId="2897D080"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A22DDA0" w14:textId="77777777" w:rsidR="00D02CB0" w:rsidRPr="00BA4DA0" w:rsidRDefault="00D02CB0" w:rsidP="00943D70">
            <w:pPr>
              <w:rPr>
                <w:rFonts w:cs="Calibri"/>
                <w:b/>
                <w:bCs/>
              </w:rPr>
            </w:pPr>
            <w:r w:rsidRPr="00BA4DA0">
              <w:rPr>
                <w:rFonts w:cs="Calibri"/>
                <w:b/>
                <w:bCs/>
              </w:rPr>
              <w:t>F4</w:t>
            </w:r>
          </w:p>
        </w:tc>
        <w:tc>
          <w:tcPr>
            <w:tcW w:w="5103" w:type="dxa"/>
            <w:tcBorders>
              <w:top w:val="nil"/>
              <w:left w:val="nil"/>
              <w:bottom w:val="single" w:sz="4" w:space="0" w:color="auto"/>
              <w:right w:val="single" w:sz="4" w:space="0" w:color="auto"/>
            </w:tcBorders>
            <w:shd w:val="clear" w:color="auto" w:fill="auto"/>
            <w:noWrap/>
            <w:vAlign w:val="center"/>
            <w:hideMark/>
          </w:tcPr>
          <w:p w14:paraId="169D03DE" w14:textId="77777777" w:rsidR="00D02CB0" w:rsidRPr="00BA4DA0" w:rsidRDefault="00D02CB0" w:rsidP="00943D70">
            <w:pPr>
              <w:rPr>
                <w:rFonts w:cs="Calibri"/>
              </w:rPr>
            </w:pPr>
            <w:r w:rsidRPr="00BA4DA0">
              <w:rPr>
                <w:rFonts w:cs="Calibri"/>
              </w:rPr>
              <w:t>Mandats SEPA</w:t>
            </w:r>
          </w:p>
        </w:tc>
        <w:tc>
          <w:tcPr>
            <w:tcW w:w="1559" w:type="dxa"/>
            <w:tcBorders>
              <w:top w:val="nil"/>
              <w:left w:val="nil"/>
              <w:bottom w:val="single" w:sz="4" w:space="0" w:color="auto"/>
              <w:right w:val="single" w:sz="4" w:space="0" w:color="auto"/>
            </w:tcBorders>
            <w:shd w:val="clear" w:color="auto" w:fill="auto"/>
            <w:noWrap/>
            <w:vAlign w:val="center"/>
            <w:hideMark/>
          </w:tcPr>
          <w:p w14:paraId="20AA0CBB" w14:textId="77777777" w:rsidR="00D02CB0" w:rsidRPr="00BA4DA0" w:rsidRDefault="00D02CB0" w:rsidP="00943D70">
            <w:pPr>
              <w:jc w:val="right"/>
              <w:rPr>
                <w:rFonts w:cs="Calibri"/>
              </w:rPr>
            </w:pPr>
            <w:r w:rsidRPr="00BA4DA0">
              <w:rPr>
                <w:rFonts w:cs="Calibri"/>
              </w:rPr>
              <w:t>7 200</w:t>
            </w:r>
          </w:p>
        </w:tc>
        <w:tc>
          <w:tcPr>
            <w:tcW w:w="1985" w:type="dxa"/>
            <w:tcBorders>
              <w:top w:val="nil"/>
              <w:left w:val="nil"/>
              <w:bottom w:val="single" w:sz="4" w:space="0" w:color="auto"/>
              <w:right w:val="single" w:sz="4" w:space="0" w:color="auto"/>
            </w:tcBorders>
            <w:shd w:val="clear" w:color="auto" w:fill="auto"/>
            <w:noWrap/>
            <w:vAlign w:val="center"/>
            <w:hideMark/>
          </w:tcPr>
          <w:p w14:paraId="36B71470" w14:textId="77777777" w:rsidR="00D02CB0" w:rsidRPr="00BA4DA0" w:rsidRDefault="00D02CB0" w:rsidP="00943D70">
            <w:pPr>
              <w:jc w:val="right"/>
              <w:rPr>
                <w:rFonts w:cs="Calibri"/>
              </w:rPr>
            </w:pPr>
            <w:r w:rsidRPr="00BA4DA0">
              <w:rPr>
                <w:rFonts w:cs="Calibri"/>
              </w:rPr>
              <w:t>7 200</w:t>
            </w:r>
          </w:p>
        </w:tc>
      </w:tr>
      <w:tr w:rsidR="00D02CB0" w:rsidRPr="00BA4DA0" w14:paraId="5098AD7E"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2680BC" w14:textId="77777777" w:rsidR="00D02CB0" w:rsidRPr="00BA4DA0" w:rsidRDefault="00D02CB0" w:rsidP="00943D70">
            <w:pPr>
              <w:rPr>
                <w:rFonts w:cs="Calibri"/>
                <w:b/>
                <w:bCs/>
              </w:rPr>
            </w:pPr>
            <w:r w:rsidRPr="00BA4DA0">
              <w:rPr>
                <w:rFonts w:cs="Calibri"/>
                <w:b/>
                <w:bCs/>
              </w:rPr>
              <w:t>F6</w:t>
            </w:r>
          </w:p>
        </w:tc>
        <w:tc>
          <w:tcPr>
            <w:tcW w:w="5103" w:type="dxa"/>
            <w:tcBorders>
              <w:top w:val="nil"/>
              <w:left w:val="nil"/>
              <w:bottom w:val="single" w:sz="4" w:space="0" w:color="auto"/>
              <w:right w:val="single" w:sz="4" w:space="0" w:color="auto"/>
            </w:tcBorders>
            <w:shd w:val="clear" w:color="auto" w:fill="auto"/>
            <w:noWrap/>
            <w:vAlign w:val="center"/>
            <w:hideMark/>
          </w:tcPr>
          <w:p w14:paraId="57259C04" w14:textId="77777777" w:rsidR="00D02CB0" w:rsidRPr="00BA4DA0" w:rsidRDefault="00D02CB0" w:rsidP="00943D70">
            <w:pPr>
              <w:rPr>
                <w:rFonts w:cs="Calibri"/>
              </w:rPr>
            </w:pPr>
            <w:r w:rsidRPr="00BA4DA0">
              <w:rPr>
                <w:rFonts w:cs="Calibri"/>
              </w:rPr>
              <w:t>Bulletins de salaires (envois postaux)</w:t>
            </w:r>
          </w:p>
        </w:tc>
        <w:tc>
          <w:tcPr>
            <w:tcW w:w="1559" w:type="dxa"/>
            <w:tcBorders>
              <w:top w:val="nil"/>
              <w:left w:val="nil"/>
              <w:bottom w:val="single" w:sz="4" w:space="0" w:color="auto"/>
              <w:right w:val="single" w:sz="4" w:space="0" w:color="auto"/>
            </w:tcBorders>
            <w:shd w:val="clear" w:color="auto" w:fill="auto"/>
            <w:noWrap/>
            <w:vAlign w:val="center"/>
            <w:hideMark/>
          </w:tcPr>
          <w:p w14:paraId="58DF189F" w14:textId="77777777" w:rsidR="00D02CB0" w:rsidRPr="00BA4DA0" w:rsidRDefault="00D02CB0" w:rsidP="00943D70">
            <w:pPr>
              <w:jc w:val="right"/>
              <w:rPr>
                <w:rFonts w:cs="Calibri"/>
              </w:rPr>
            </w:pPr>
            <w:r w:rsidRPr="00BA4DA0">
              <w:rPr>
                <w:rFonts w:cs="Calibri"/>
              </w:rPr>
              <w:t>26 000</w:t>
            </w:r>
          </w:p>
        </w:tc>
        <w:tc>
          <w:tcPr>
            <w:tcW w:w="1985" w:type="dxa"/>
            <w:tcBorders>
              <w:top w:val="nil"/>
              <w:left w:val="nil"/>
              <w:bottom w:val="single" w:sz="4" w:space="0" w:color="auto"/>
              <w:right w:val="single" w:sz="4" w:space="0" w:color="auto"/>
            </w:tcBorders>
            <w:shd w:val="clear" w:color="auto" w:fill="auto"/>
            <w:noWrap/>
            <w:vAlign w:val="center"/>
            <w:hideMark/>
          </w:tcPr>
          <w:p w14:paraId="01C07D6F" w14:textId="77777777" w:rsidR="00D02CB0" w:rsidRPr="00BA4DA0" w:rsidRDefault="00D02CB0" w:rsidP="00943D70">
            <w:pPr>
              <w:jc w:val="right"/>
              <w:rPr>
                <w:rFonts w:cs="Calibri"/>
              </w:rPr>
            </w:pPr>
            <w:r w:rsidRPr="00BA4DA0">
              <w:rPr>
                <w:rFonts w:cs="Calibri"/>
              </w:rPr>
              <w:t>26 000</w:t>
            </w:r>
          </w:p>
        </w:tc>
      </w:tr>
      <w:tr w:rsidR="00D02CB0" w:rsidRPr="00BA4DA0" w14:paraId="0376F3A8"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C448E06" w14:textId="77777777" w:rsidR="00D02CB0" w:rsidRPr="00BA4DA0" w:rsidRDefault="00D02CB0" w:rsidP="00943D70">
            <w:pPr>
              <w:rPr>
                <w:rFonts w:cs="Calibri"/>
                <w:b/>
                <w:bCs/>
              </w:rPr>
            </w:pPr>
            <w:r w:rsidRPr="00BA4DA0">
              <w:rPr>
                <w:rFonts w:cs="Calibri"/>
                <w:b/>
                <w:bCs/>
              </w:rPr>
              <w:t>F20</w:t>
            </w:r>
          </w:p>
        </w:tc>
        <w:tc>
          <w:tcPr>
            <w:tcW w:w="5103" w:type="dxa"/>
            <w:tcBorders>
              <w:top w:val="nil"/>
              <w:left w:val="nil"/>
              <w:bottom w:val="single" w:sz="4" w:space="0" w:color="auto"/>
              <w:right w:val="single" w:sz="4" w:space="0" w:color="auto"/>
            </w:tcBorders>
            <w:shd w:val="clear" w:color="auto" w:fill="auto"/>
            <w:noWrap/>
            <w:vAlign w:val="center"/>
            <w:hideMark/>
          </w:tcPr>
          <w:p w14:paraId="3D093F17" w14:textId="77777777" w:rsidR="00D02CB0" w:rsidRPr="00BA4DA0" w:rsidRDefault="00D02CB0" w:rsidP="00943D70">
            <w:pPr>
              <w:rPr>
                <w:rFonts w:cs="Calibri"/>
              </w:rPr>
            </w:pPr>
            <w:r w:rsidRPr="00BA4DA0">
              <w:rPr>
                <w:rFonts w:cs="Calibri"/>
              </w:rPr>
              <w:t>Courriers égrenés LG4</w:t>
            </w:r>
          </w:p>
        </w:tc>
        <w:tc>
          <w:tcPr>
            <w:tcW w:w="1559" w:type="dxa"/>
            <w:tcBorders>
              <w:top w:val="nil"/>
              <w:left w:val="nil"/>
              <w:bottom w:val="single" w:sz="4" w:space="0" w:color="auto"/>
              <w:right w:val="single" w:sz="4" w:space="0" w:color="auto"/>
            </w:tcBorders>
            <w:shd w:val="clear" w:color="auto" w:fill="auto"/>
            <w:noWrap/>
            <w:vAlign w:val="center"/>
            <w:hideMark/>
          </w:tcPr>
          <w:p w14:paraId="26C63710" w14:textId="77777777" w:rsidR="00D02CB0" w:rsidRPr="00BA4DA0" w:rsidRDefault="00D02CB0" w:rsidP="00943D70">
            <w:pPr>
              <w:jc w:val="right"/>
              <w:rPr>
                <w:rFonts w:cs="Calibri"/>
              </w:rPr>
            </w:pPr>
            <w:r w:rsidRPr="00BA4DA0">
              <w:rPr>
                <w:rFonts w:cs="Calibri"/>
              </w:rPr>
              <w:t>23 000</w:t>
            </w:r>
          </w:p>
        </w:tc>
        <w:tc>
          <w:tcPr>
            <w:tcW w:w="1985" w:type="dxa"/>
            <w:tcBorders>
              <w:top w:val="nil"/>
              <w:left w:val="nil"/>
              <w:bottom w:val="single" w:sz="4" w:space="0" w:color="auto"/>
              <w:right w:val="single" w:sz="4" w:space="0" w:color="auto"/>
            </w:tcBorders>
            <w:shd w:val="clear" w:color="auto" w:fill="auto"/>
            <w:noWrap/>
            <w:vAlign w:val="center"/>
            <w:hideMark/>
          </w:tcPr>
          <w:p w14:paraId="1D3B3542" w14:textId="77777777" w:rsidR="00D02CB0" w:rsidRPr="00BA4DA0" w:rsidRDefault="00D02CB0" w:rsidP="00943D70">
            <w:pPr>
              <w:jc w:val="right"/>
              <w:rPr>
                <w:rFonts w:cs="Calibri"/>
              </w:rPr>
            </w:pPr>
            <w:r w:rsidRPr="00BA4DA0">
              <w:rPr>
                <w:rFonts w:cs="Calibri"/>
              </w:rPr>
              <w:t>33 000</w:t>
            </w:r>
          </w:p>
        </w:tc>
      </w:tr>
      <w:tr w:rsidR="00D02CB0" w:rsidRPr="00BA4DA0" w14:paraId="1533474F"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6E1CDF" w14:textId="77777777" w:rsidR="00D02CB0" w:rsidRPr="00BA4DA0" w:rsidRDefault="00D02CB0" w:rsidP="00943D70">
            <w:pPr>
              <w:rPr>
                <w:rFonts w:cs="Calibri"/>
                <w:b/>
                <w:bCs/>
              </w:rPr>
            </w:pPr>
            <w:r w:rsidRPr="00BA4DA0">
              <w:rPr>
                <w:rFonts w:cs="Calibri"/>
                <w:b/>
                <w:bCs/>
              </w:rPr>
              <w:t>F22</w:t>
            </w:r>
          </w:p>
        </w:tc>
        <w:tc>
          <w:tcPr>
            <w:tcW w:w="5103" w:type="dxa"/>
            <w:tcBorders>
              <w:top w:val="nil"/>
              <w:left w:val="nil"/>
              <w:bottom w:val="single" w:sz="4" w:space="0" w:color="auto"/>
              <w:right w:val="single" w:sz="4" w:space="0" w:color="auto"/>
            </w:tcBorders>
            <w:shd w:val="clear" w:color="auto" w:fill="auto"/>
            <w:noWrap/>
            <w:vAlign w:val="center"/>
            <w:hideMark/>
          </w:tcPr>
          <w:p w14:paraId="6C564A43" w14:textId="77777777" w:rsidR="00D02CB0" w:rsidRPr="00BA4DA0" w:rsidRDefault="00D02CB0" w:rsidP="00943D70">
            <w:pPr>
              <w:rPr>
                <w:rFonts w:cs="Calibri"/>
              </w:rPr>
            </w:pPr>
            <w:r w:rsidRPr="00BA4DA0">
              <w:rPr>
                <w:rFonts w:cs="Calibri"/>
              </w:rPr>
              <w:t>Courriers égrenés LG2</w:t>
            </w:r>
          </w:p>
        </w:tc>
        <w:tc>
          <w:tcPr>
            <w:tcW w:w="1559" w:type="dxa"/>
            <w:tcBorders>
              <w:top w:val="nil"/>
              <w:left w:val="nil"/>
              <w:bottom w:val="single" w:sz="4" w:space="0" w:color="auto"/>
              <w:right w:val="single" w:sz="4" w:space="0" w:color="auto"/>
            </w:tcBorders>
            <w:shd w:val="clear" w:color="auto" w:fill="auto"/>
            <w:noWrap/>
            <w:vAlign w:val="center"/>
            <w:hideMark/>
          </w:tcPr>
          <w:p w14:paraId="456BCF78" w14:textId="77777777" w:rsidR="00D02CB0" w:rsidRPr="00BA4DA0" w:rsidRDefault="00D02CB0" w:rsidP="00943D70">
            <w:pPr>
              <w:jc w:val="right"/>
              <w:rPr>
                <w:rFonts w:cs="Calibri"/>
              </w:rPr>
            </w:pPr>
            <w:r w:rsidRPr="00BA4DA0">
              <w:rPr>
                <w:rFonts w:cs="Calibri"/>
              </w:rPr>
              <w:t>600</w:t>
            </w:r>
          </w:p>
        </w:tc>
        <w:tc>
          <w:tcPr>
            <w:tcW w:w="1985" w:type="dxa"/>
            <w:tcBorders>
              <w:top w:val="nil"/>
              <w:left w:val="nil"/>
              <w:bottom w:val="single" w:sz="4" w:space="0" w:color="auto"/>
              <w:right w:val="single" w:sz="4" w:space="0" w:color="auto"/>
            </w:tcBorders>
            <w:shd w:val="clear" w:color="auto" w:fill="auto"/>
            <w:noWrap/>
            <w:vAlign w:val="center"/>
            <w:hideMark/>
          </w:tcPr>
          <w:p w14:paraId="5403146C" w14:textId="77777777" w:rsidR="00D02CB0" w:rsidRPr="00BA4DA0" w:rsidRDefault="00D02CB0" w:rsidP="00943D70">
            <w:pPr>
              <w:jc w:val="right"/>
              <w:rPr>
                <w:rFonts w:cs="Calibri"/>
              </w:rPr>
            </w:pPr>
            <w:r w:rsidRPr="00BA4DA0">
              <w:rPr>
                <w:rFonts w:cs="Calibri"/>
              </w:rPr>
              <w:t>650</w:t>
            </w:r>
          </w:p>
        </w:tc>
      </w:tr>
      <w:tr w:rsidR="00D02CB0" w:rsidRPr="00BA4DA0" w14:paraId="199C23CD"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434D88" w14:textId="77777777" w:rsidR="00D02CB0" w:rsidRPr="00BA4DA0" w:rsidRDefault="00D02CB0" w:rsidP="00943D70">
            <w:pPr>
              <w:rPr>
                <w:rFonts w:cs="Calibri"/>
                <w:b/>
                <w:bCs/>
              </w:rPr>
            </w:pPr>
            <w:r w:rsidRPr="00BA4DA0">
              <w:rPr>
                <w:rFonts w:cs="Calibri"/>
                <w:b/>
                <w:bCs/>
              </w:rPr>
              <w:t>F9</w:t>
            </w:r>
          </w:p>
        </w:tc>
        <w:tc>
          <w:tcPr>
            <w:tcW w:w="5103" w:type="dxa"/>
            <w:tcBorders>
              <w:top w:val="nil"/>
              <w:left w:val="nil"/>
              <w:bottom w:val="single" w:sz="4" w:space="0" w:color="auto"/>
              <w:right w:val="single" w:sz="4" w:space="0" w:color="auto"/>
            </w:tcBorders>
            <w:shd w:val="clear" w:color="auto" w:fill="auto"/>
            <w:noWrap/>
            <w:vAlign w:val="center"/>
            <w:hideMark/>
          </w:tcPr>
          <w:p w14:paraId="10023E37" w14:textId="77777777" w:rsidR="00D02CB0" w:rsidRPr="00BA4DA0" w:rsidRDefault="00D02CB0" w:rsidP="00943D70">
            <w:pPr>
              <w:rPr>
                <w:rFonts w:cs="Calibri"/>
              </w:rPr>
            </w:pPr>
            <w:r w:rsidRPr="00BA4DA0">
              <w:rPr>
                <w:rFonts w:cs="Calibri"/>
              </w:rPr>
              <w:t>Dépistage (résultat de tests SIDEP)</w:t>
            </w:r>
          </w:p>
        </w:tc>
        <w:tc>
          <w:tcPr>
            <w:tcW w:w="1559" w:type="dxa"/>
            <w:tcBorders>
              <w:top w:val="nil"/>
              <w:left w:val="nil"/>
              <w:bottom w:val="single" w:sz="4" w:space="0" w:color="auto"/>
              <w:right w:val="single" w:sz="4" w:space="0" w:color="auto"/>
            </w:tcBorders>
            <w:shd w:val="clear" w:color="auto" w:fill="auto"/>
            <w:noWrap/>
            <w:vAlign w:val="center"/>
            <w:hideMark/>
          </w:tcPr>
          <w:p w14:paraId="4119755C" w14:textId="77777777" w:rsidR="00D02CB0" w:rsidRPr="00BA4DA0" w:rsidRDefault="00D02CB0" w:rsidP="00943D70">
            <w:pPr>
              <w:jc w:val="right"/>
              <w:rPr>
                <w:rFonts w:cs="Calibri"/>
              </w:rPr>
            </w:pPr>
            <w:r w:rsidRPr="00BA4DA0">
              <w:rPr>
                <w:rFonts w:cs="Calibri"/>
              </w:rPr>
              <w:t>-</w:t>
            </w:r>
          </w:p>
        </w:tc>
        <w:tc>
          <w:tcPr>
            <w:tcW w:w="1985" w:type="dxa"/>
            <w:tcBorders>
              <w:top w:val="nil"/>
              <w:left w:val="nil"/>
              <w:bottom w:val="single" w:sz="4" w:space="0" w:color="auto"/>
              <w:right w:val="single" w:sz="4" w:space="0" w:color="auto"/>
            </w:tcBorders>
            <w:shd w:val="clear" w:color="auto" w:fill="auto"/>
            <w:noWrap/>
            <w:vAlign w:val="center"/>
            <w:hideMark/>
          </w:tcPr>
          <w:p w14:paraId="08B818CD" w14:textId="77777777" w:rsidR="00D02CB0" w:rsidRPr="00BA4DA0" w:rsidRDefault="00D02CB0" w:rsidP="00943D70">
            <w:pPr>
              <w:jc w:val="right"/>
              <w:rPr>
                <w:rFonts w:cs="Calibri"/>
              </w:rPr>
            </w:pPr>
            <w:r w:rsidRPr="00BA4DA0">
              <w:rPr>
                <w:rFonts w:cs="Calibri"/>
              </w:rPr>
              <w:t>-</w:t>
            </w:r>
          </w:p>
        </w:tc>
      </w:tr>
      <w:tr w:rsidR="00D02CB0" w:rsidRPr="00BA4DA0" w14:paraId="4EB2EAE6"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163336" w14:textId="77777777" w:rsidR="00D02CB0" w:rsidRPr="00BA4DA0" w:rsidRDefault="00D02CB0" w:rsidP="00943D70">
            <w:pPr>
              <w:rPr>
                <w:rFonts w:cs="Calibri"/>
                <w:b/>
                <w:bCs/>
              </w:rPr>
            </w:pPr>
            <w:r w:rsidRPr="00BA4DA0">
              <w:rPr>
                <w:rFonts w:cs="Calibri"/>
                <w:b/>
                <w:bCs/>
              </w:rPr>
              <w:t>F10</w:t>
            </w:r>
          </w:p>
        </w:tc>
        <w:tc>
          <w:tcPr>
            <w:tcW w:w="5103" w:type="dxa"/>
            <w:tcBorders>
              <w:top w:val="nil"/>
              <w:left w:val="nil"/>
              <w:bottom w:val="single" w:sz="4" w:space="0" w:color="auto"/>
              <w:right w:val="single" w:sz="4" w:space="0" w:color="auto"/>
            </w:tcBorders>
            <w:shd w:val="clear" w:color="auto" w:fill="auto"/>
            <w:noWrap/>
            <w:vAlign w:val="center"/>
            <w:hideMark/>
          </w:tcPr>
          <w:p w14:paraId="6CB759E2" w14:textId="77777777" w:rsidR="00D02CB0" w:rsidRPr="00BA4DA0" w:rsidRDefault="00D02CB0" w:rsidP="00943D70">
            <w:pPr>
              <w:rPr>
                <w:rFonts w:cs="Calibri"/>
              </w:rPr>
            </w:pPr>
            <w:r w:rsidRPr="00BA4DA0">
              <w:rPr>
                <w:rFonts w:cs="Calibri"/>
              </w:rPr>
              <w:t>Production batch de comptes rendus</w:t>
            </w:r>
          </w:p>
        </w:tc>
        <w:tc>
          <w:tcPr>
            <w:tcW w:w="1559" w:type="dxa"/>
            <w:tcBorders>
              <w:top w:val="nil"/>
              <w:left w:val="nil"/>
              <w:bottom w:val="single" w:sz="4" w:space="0" w:color="auto"/>
              <w:right w:val="single" w:sz="4" w:space="0" w:color="auto"/>
            </w:tcBorders>
            <w:shd w:val="clear" w:color="auto" w:fill="auto"/>
            <w:noWrap/>
            <w:vAlign w:val="center"/>
            <w:hideMark/>
          </w:tcPr>
          <w:p w14:paraId="510026F1" w14:textId="77777777" w:rsidR="00D02CB0" w:rsidRPr="00BA4DA0" w:rsidRDefault="00D02CB0" w:rsidP="00943D70">
            <w:pPr>
              <w:jc w:val="right"/>
              <w:rPr>
                <w:rFonts w:cs="Calibri"/>
              </w:rPr>
            </w:pPr>
            <w:r w:rsidRPr="00BA4DA0">
              <w:rPr>
                <w:rFonts w:cs="Calibri"/>
              </w:rPr>
              <w:t>121 000</w:t>
            </w:r>
          </w:p>
        </w:tc>
        <w:tc>
          <w:tcPr>
            <w:tcW w:w="1985" w:type="dxa"/>
            <w:tcBorders>
              <w:top w:val="nil"/>
              <w:left w:val="nil"/>
              <w:bottom w:val="single" w:sz="4" w:space="0" w:color="auto"/>
              <w:right w:val="single" w:sz="4" w:space="0" w:color="auto"/>
            </w:tcBorders>
            <w:shd w:val="clear" w:color="auto" w:fill="auto"/>
            <w:noWrap/>
            <w:vAlign w:val="center"/>
            <w:hideMark/>
          </w:tcPr>
          <w:p w14:paraId="0DE2BE80" w14:textId="77777777" w:rsidR="00D02CB0" w:rsidRPr="00BA4DA0" w:rsidRDefault="00D02CB0" w:rsidP="00943D70">
            <w:pPr>
              <w:jc w:val="right"/>
              <w:rPr>
                <w:rFonts w:cs="Calibri"/>
              </w:rPr>
            </w:pPr>
            <w:r w:rsidRPr="00BA4DA0">
              <w:rPr>
                <w:rFonts w:cs="Calibri"/>
              </w:rPr>
              <w:t>257 000</w:t>
            </w:r>
          </w:p>
        </w:tc>
      </w:tr>
      <w:tr w:rsidR="00D02CB0" w:rsidRPr="00BA4DA0" w14:paraId="48DB60AC"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0EA4E73" w14:textId="77777777" w:rsidR="00D02CB0" w:rsidRPr="00BA4DA0" w:rsidRDefault="00D02CB0" w:rsidP="00943D70">
            <w:pPr>
              <w:rPr>
                <w:rFonts w:cs="Calibri"/>
                <w:b/>
                <w:bCs/>
              </w:rPr>
            </w:pPr>
            <w:r w:rsidRPr="00BA4DA0">
              <w:rPr>
                <w:rFonts w:cs="Calibri"/>
                <w:b/>
                <w:bCs/>
              </w:rPr>
              <w:t>F40</w:t>
            </w:r>
          </w:p>
        </w:tc>
        <w:tc>
          <w:tcPr>
            <w:tcW w:w="5103" w:type="dxa"/>
            <w:tcBorders>
              <w:top w:val="nil"/>
              <w:left w:val="nil"/>
              <w:bottom w:val="single" w:sz="4" w:space="0" w:color="auto"/>
              <w:right w:val="single" w:sz="4" w:space="0" w:color="auto"/>
            </w:tcBorders>
            <w:shd w:val="clear" w:color="auto" w:fill="auto"/>
            <w:noWrap/>
            <w:vAlign w:val="center"/>
            <w:hideMark/>
          </w:tcPr>
          <w:p w14:paraId="77D063E5" w14:textId="77777777" w:rsidR="00D02CB0" w:rsidRPr="00BA4DA0" w:rsidRDefault="00D02CB0" w:rsidP="00943D70">
            <w:pPr>
              <w:rPr>
                <w:rFonts w:cs="Calibri"/>
              </w:rPr>
            </w:pPr>
            <w:r w:rsidRPr="00BA4DA0">
              <w:rPr>
                <w:rFonts w:cs="Calibri"/>
              </w:rPr>
              <w:t>Attestations fiscales</w:t>
            </w:r>
          </w:p>
        </w:tc>
        <w:tc>
          <w:tcPr>
            <w:tcW w:w="1559" w:type="dxa"/>
            <w:tcBorders>
              <w:top w:val="nil"/>
              <w:left w:val="nil"/>
              <w:bottom w:val="single" w:sz="4" w:space="0" w:color="auto"/>
              <w:right w:val="single" w:sz="4" w:space="0" w:color="auto"/>
            </w:tcBorders>
            <w:shd w:val="clear" w:color="auto" w:fill="auto"/>
            <w:noWrap/>
            <w:vAlign w:val="center"/>
            <w:hideMark/>
          </w:tcPr>
          <w:p w14:paraId="10954B65" w14:textId="77777777" w:rsidR="00D02CB0" w:rsidRPr="00BA4DA0" w:rsidRDefault="00D02CB0" w:rsidP="00943D70">
            <w:pPr>
              <w:jc w:val="right"/>
              <w:rPr>
                <w:rFonts w:cs="Calibri"/>
                <w:color w:val="auto"/>
              </w:rPr>
            </w:pPr>
            <w:r w:rsidRPr="00BA4DA0">
              <w:rPr>
                <w:rFonts w:cs="Calibri"/>
                <w:color w:val="auto"/>
              </w:rPr>
              <w:t>8 000</w:t>
            </w:r>
          </w:p>
        </w:tc>
        <w:tc>
          <w:tcPr>
            <w:tcW w:w="1985" w:type="dxa"/>
            <w:tcBorders>
              <w:top w:val="nil"/>
              <w:left w:val="nil"/>
              <w:bottom w:val="single" w:sz="4" w:space="0" w:color="auto"/>
              <w:right w:val="single" w:sz="4" w:space="0" w:color="auto"/>
            </w:tcBorders>
            <w:shd w:val="clear" w:color="auto" w:fill="auto"/>
            <w:noWrap/>
            <w:vAlign w:val="center"/>
            <w:hideMark/>
          </w:tcPr>
          <w:p w14:paraId="4A7A1744" w14:textId="77777777" w:rsidR="00D02CB0" w:rsidRPr="00BA4DA0" w:rsidRDefault="00D02CB0" w:rsidP="00943D70">
            <w:pPr>
              <w:jc w:val="right"/>
              <w:rPr>
                <w:rFonts w:cs="Calibri"/>
                <w:color w:val="auto"/>
              </w:rPr>
            </w:pPr>
            <w:r w:rsidRPr="00BA4DA0">
              <w:rPr>
                <w:rFonts w:cs="Calibri"/>
                <w:color w:val="auto"/>
              </w:rPr>
              <w:t>8 000</w:t>
            </w:r>
          </w:p>
        </w:tc>
      </w:tr>
      <w:tr w:rsidR="00D02CB0" w:rsidRPr="00BA4DA0" w14:paraId="5C90EDA4"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3187F94" w14:textId="77777777" w:rsidR="00D02CB0" w:rsidRPr="00BA4DA0" w:rsidRDefault="00D02CB0" w:rsidP="00943D70">
            <w:pPr>
              <w:rPr>
                <w:rFonts w:cs="Calibri"/>
                <w:b/>
                <w:bCs/>
              </w:rPr>
            </w:pPr>
            <w:r w:rsidRPr="00BA4DA0">
              <w:rPr>
                <w:rFonts w:cs="Calibri"/>
                <w:b/>
                <w:bCs/>
              </w:rPr>
              <w:t>F50</w:t>
            </w:r>
          </w:p>
        </w:tc>
        <w:tc>
          <w:tcPr>
            <w:tcW w:w="5103" w:type="dxa"/>
            <w:tcBorders>
              <w:top w:val="nil"/>
              <w:left w:val="nil"/>
              <w:bottom w:val="single" w:sz="4" w:space="0" w:color="auto"/>
              <w:right w:val="single" w:sz="4" w:space="0" w:color="auto"/>
            </w:tcBorders>
            <w:shd w:val="clear" w:color="auto" w:fill="auto"/>
            <w:noWrap/>
            <w:vAlign w:val="center"/>
            <w:hideMark/>
          </w:tcPr>
          <w:p w14:paraId="7DE3031D" w14:textId="77777777" w:rsidR="00D02CB0" w:rsidRPr="00BA4DA0" w:rsidRDefault="00D02CB0" w:rsidP="00943D70">
            <w:pPr>
              <w:rPr>
                <w:rFonts w:cs="Calibri"/>
              </w:rPr>
            </w:pPr>
            <w:r w:rsidRPr="00BA4DA0">
              <w:rPr>
                <w:rFonts w:cs="Calibri"/>
              </w:rPr>
              <w:t>Opérations exceptionnelles de mailing recto simple</w:t>
            </w:r>
          </w:p>
        </w:tc>
        <w:tc>
          <w:tcPr>
            <w:tcW w:w="1559" w:type="dxa"/>
            <w:tcBorders>
              <w:top w:val="nil"/>
              <w:left w:val="nil"/>
              <w:bottom w:val="single" w:sz="4" w:space="0" w:color="auto"/>
              <w:right w:val="single" w:sz="4" w:space="0" w:color="auto"/>
            </w:tcBorders>
            <w:shd w:val="clear" w:color="auto" w:fill="auto"/>
            <w:noWrap/>
            <w:vAlign w:val="center"/>
            <w:hideMark/>
          </w:tcPr>
          <w:p w14:paraId="08FB7224" w14:textId="77777777" w:rsidR="00D02CB0" w:rsidRPr="00BA4DA0" w:rsidRDefault="00D02CB0" w:rsidP="00943D70">
            <w:pPr>
              <w:jc w:val="right"/>
              <w:rPr>
                <w:rFonts w:cs="Calibri"/>
              </w:rPr>
            </w:pPr>
            <w:r w:rsidRPr="00BA4DA0">
              <w:rPr>
                <w:rFonts w:cs="Calibri"/>
              </w:rPr>
              <w:t>18 000</w:t>
            </w:r>
          </w:p>
        </w:tc>
        <w:tc>
          <w:tcPr>
            <w:tcW w:w="1985" w:type="dxa"/>
            <w:tcBorders>
              <w:top w:val="nil"/>
              <w:left w:val="nil"/>
              <w:bottom w:val="single" w:sz="4" w:space="0" w:color="auto"/>
              <w:right w:val="single" w:sz="4" w:space="0" w:color="auto"/>
            </w:tcBorders>
            <w:shd w:val="clear" w:color="auto" w:fill="auto"/>
            <w:noWrap/>
            <w:vAlign w:val="center"/>
            <w:hideMark/>
          </w:tcPr>
          <w:p w14:paraId="31567345" w14:textId="77777777" w:rsidR="00D02CB0" w:rsidRPr="00BA4DA0" w:rsidRDefault="00D02CB0" w:rsidP="00943D70">
            <w:pPr>
              <w:jc w:val="right"/>
              <w:rPr>
                <w:rFonts w:cs="Calibri"/>
              </w:rPr>
            </w:pPr>
            <w:r w:rsidRPr="00BA4DA0">
              <w:rPr>
                <w:rFonts w:cs="Calibri"/>
              </w:rPr>
              <w:t>18 000</w:t>
            </w:r>
          </w:p>
        </w:tc>
      </w:tr>
      <w:tr w:rsidR="00D02CB0" w:rsidRPr="00F15AC0" w14:paraId="2E96089B" w14:textId="77777777" w:rsidTr="00D02CB0">
        <w:trPr>
          <w:trHeight w:val="34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EF982AC" w14:textId="77777777" w:rsidR="00D02CB0" w:rsidRPr="00BA4DA0" w:rsidRDefault="00D02CB0" w:rsidP="00943D70">
            <w:pPr>
              <w:rPr>
                <w:rFonts w:cs="Calibri"/>
                <w:b/>
                <w:bCs/>
              </w:rPr>
            </w:pPr>
            <w:r w:rsidRPr="00BA4DA0">
              <w:rPr>
                <w:rFonts w:cs="Calibri"/>
                <w:b/>
                <w:bCs/>
              </w:rPr>
              <w:t>F51</w:t>
            </w:r>
          </w:p>
        </w:tc>
        <w:tc>
          <w:tcPr>
            <w:tcW w:w="5103" w:type="dxa"/>
            <w:tcBorders>
              <w:top w:val="nil"/>
              <w:left w:val="nil"/>
              <w:bottom w:val="single" w:sz="4" w:space="0" w:color="auto"/>
              <w:right w:val="single" w:sz="4" w:space="0" w:color="auto"/>
            </w:tcBorders>
            <w:shd w:val="clear" w:color="auto" w:fill="auto"/>
            <w:noWrap/>
            <w:vAlign w:val="center"/>
            <w:hideMark/>
          </w:tcPr>
          <w:p w14:paraId="0516CF03" w14:textId="77777777" w:rsidR="00D02CB0" w:rsidRPr="00BA4DA0" w:rsidRDefault="00D02CB0" w:rsidP="00943D70">
            <w:pPr>
              <w:rPr>
                <w:rFonts w:cs="Calibri"/>
              </w:rPr>
            </w:pPr>
            <w:r w:rsidRPr="00BA4DA0">
              <w:rPr>
                <w:rFonts w:cs="Calibri"/>
              </w:rPr>
              <w:t>Opérations exceptionnelles de mailing recto verso</w:t>
            </w:r>
          </w:p>
        </w:tc>
        <w:tc>
          <w:tcPr>
            <w:tcW w:w="1559" w:type="dxa"/>
            <w:tcBorders>
              <w:top w:val="nil"/>
              <w:left w:val="nil"/>
              <w:bottom w:val="single" w:sz="4" w:space="0" w:color="auto"/>
              <w:right w:val="single" w:sz="4" w:space="0" w:color="auto"/>
            </w:tcBorders>
            <w:shd w:val="clear" w:color="auto" w:fill="auto"/>
            <w:noWrap/>
            <w:vAlign w:val="center"/>
            <w:hideMark/>
          </w:tcPr>
          <w:p w14:paraId="5710675A" w14:textId="77777777" w:rsidR="00D02CB0" w:rsidRPr="00BA4DA0" w:rsidRDefault="00D02CB0" w:rsidP="00943D70">
            <w:pPr>
              <w:jc w:val="right"/>
              <w:rPr>
                <w:rFonts w:cs="Calibri"/>
              </w:rPr>
            </w:pPr>
            <w:r w:rsidRPr="00BA4DA0">
              <w:rPr>
                <w:rFonts w:cs="Calibri"/>
              </w:rPr>
              <w:t>-</w:t>
            </w:r>
          </w:p>
        </w:tc>
        <w:tc>
          <w:tcPr>
            <w:tcW w:w="1985" w:type="dxa"/>
            <w:tcBorders>
              <w:top w:val="nil"/>
              <w:left w:val="nil"/>
              <w:bottom w:val="single" w:sz="4" w:space="0" w:color="auto"/>
              <w:right w:val="single" w:sz="4" w:space="0" w:color="auto"/>
            </w:tcBorders>
            <w:shd w:val="clear" w:color="auto" w:fill="auto"/>
            <w:noWrap/>
            <w:vAlign w:val="center"/>
            <w:hideMark/>
          </w:tcPr>
          <w:p w14:paraId="2B59C98E" w14:textId="77777777" w:rsidR="00D02CB0" w:rsidRPr="00BA4DA0" w:rsidRDefault="00D02CB0" w:rsidP="00943D70">
            <w:pPr>
              <w:jc w:val="right"/>
              <w:rPr>
                <w:rFonts w:cs="Calibri"/>
              </w:rPr>
            </w:pPr>
            <w:r w:rsidRPr="00BA4DA0">
              <w:rPr>
                <w:rFonts w:cs="Calibri"/>
              </w:rPr>
              <w:t>-</w:t>
            </w:r>
          </w:p>
        </w:tc>
      </w:tr>
    </w:tbl>
    <w:p w14:paraId="4CD4E8BE" w14:textId="019779CA" w:rsidR="00D02CB0" w:rsidRDefault="00D02CB0" w:rsidP="00D02CB0">
      <w:pPr>
        <w:pStyle w:val="Corpsdetexte"/>
      </w:pPr>
      <w:r>
        <w:t>(*) F9 existe mais n’est plus utilisée pour le moment</w:t>
      </w:r>
    </w:p>
    <w:p w14:paraId="1EF190F9" w14:textId="77777777" w:rsidR="00D02CB0" w:rsidRDefault="00D02CB0" w:rsidP="00D02CB0">
      <w:pPr>
        <w:pStyle w:val="Corpsdetexte"/>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851"/>
        <w:gridCol w:w="708"/>
        <w:gridCol w:w="709"/>
        <w:gridCol w:w="567"/>
        <w:gridCol w:w="567"/>
        <w:gridCol w:w="1134"/>
        <w:gridCol w:w="709"/>
        <w:gridCol w:w="709"/>
        <w:gridCol w:w="2976"/>
      </w:tblGrid>
      <w:tr w:rsidR="00145C61" w:rsidRPr="00145C61" w14:paraId="2C32365B" w14:textId="77777777" w:rsidTr="004222E3">
        <w:trPr>
          <w:cantSplit/>
          <w:trHeight w:val="340"/>
          <w:tblHeader/>
        </w:trPr>
        <w:tc>
          <w:tcPr>
            <w:tcW w:w="704" w:type="dxa"/>
            <w:shd w:val="clear" w:color="000000" w:fill="D9D9D9"/>
            <w:vAlign w:val="center"/>
            <w:hideMark/>
          </w:tcPr>
          <w:p w14:paraId="34537307" w14:textId="77777777" w:rsidR="00D02CB0" w:rsidRPr="00145C61" w:rsidRDefault="00D02CB0" w:rsidP="00943D70">
            <w:pPr>
              <w:jc w:val="center"/>
              <w:rPr>
                <w:rFonts w:cs="Calibri"/>
                <w:b/>
                <w:bCs/>
                <w:sz w:val="16"/>
                <w:szCs w:val="16"/>
              </w:rPr>
            </w:pPr>
            <w:r w:rsidRPr="00145C61">
              <w:rPr>
                <w:rFonts w:cs="Calibri"/>
                <w:b/>
                <w:bCs/>
                <w:sz w:val="16"/>
                <w:szCs w:val="16"/>
              </w:rPr>
              <w:t>Filière</w:t>
            </w:r>
          </w:p>
        </w:tc>
        <w:tc>
          <w:tcPr>
            <w:tcW w:w="851" w:type="dxa"/>
            <w:shd w:val="clear" w:color="000000" w:fill="D9D9D9"/>
            <w:vAlign w:val="center"/>
            <w:hideMark/>
          </w:tcPr>
          <w:p w14:paraId="0070B3D4" w14:textId="33A72538" w:rsidR="00D02CB0" w:rsidRPr="00145C61" w:rsidRDefault="00D02CB0" w:rsidP="00943D70">
            <w:pPr>
              <w:jc w:val="center"/>
              <w:rPr>
                <w:rFonts w:cs="Calibri"/>
                <w:b/>
                <w:bCs/>
                <w:sz w:val="16"/>
                <w:szCs w:val="16"/>
              </w:rPr>
            </w:pPr>
            <w:r w:rsidRPr="00145C61">
              <w:rPr>
                <w:rFonts w:cs="Calibri"/>
                <w:b/>
                <w:bCs/>
                <w:sz w:val="16"/>
                <w:szCs w:val="16"/>
              </w:rPr>
              <w:t>Format</w:t>
            </w:r>
          </w:p>
        </w:tc>
        <w:tc>
          <w:tcPr>
            <w:tcW w:w="708" w:type="dxa"/>
            <w:shd w:val="clear" w:color="000000" w:fill="D9D9D9"/>
            <w:vAlign w:val="center"/>
            <w:hideMark/>
          </w:tcPr>
          <w:p w14:paraId="7EAF8F26" w14:textId="43BB36CC" w:rsidR="00D02CB0" w:rsidRPr="00145C61" w:rsidRDefault="00D02CB0" w:rsidP="00943D70">
            <w:pPr>
              <w:jc w:val="center"/>
              <w:rPr>
                <w:rFonts w:cs="Calibri"/>
                <w:b/>
                <w:bCs/>
                <w:sz w:val="16"/>
                <w:szCs w:val="16"/>
              </w:rPr>
            </w:pPr>
            <w:r w:rsidRPr="00145C61">
              <w:rPr>
                <w:rFonts w:cs="Calibri"/>
                <w:b/>
                <w:bCs/>
                <w:sz w:val="16"/>
                <w:szCs w:val="16"/>
              </w:rPr>
              <w:t>Papier</w:t>
            </w:r>
          </w:p>
        </w:tc>
        <w:tc>
          <w:tcPr>
            <w:tcW w:w="709" w:type="dxa"/>
            <w:shd w:val="clear" w:color="000000" w:fill="D9D9D9"/>
            <w:vAlign w:val="center"/>
            <w:hideMark/>
          </w:tcPr>
          <w:p w14:paraId="30139B6B" w14:textId="77777777" w:rsidR="00D02CB0" w:rsidRPr="00145C61" w:rsidRDefault="00D02CB0" w:rsidP="00943D70">
            <w:pPr>
              <w:jc w:val="center"/>
              <w:rPr>
                <w:rFonts w:cs="Calibri"/>
                <w:b/>
                <w:bCs/>
                <w:sz w:val="16"/>
                <w:szCs w:val="16"/>
              </w:rPr>
            </w:pPr>
            <w:r w:rsidRPr="00145C61">
              <w:rPr>
                <w:rFonts w:cs="Calibri"/>
                <w:b/>
                <w:bCs/>
                <w:sz w:val="16"/>
                <w:szCs w:val="16"/>
              </w:rPr>
              <w:t>Mode</w:t>
            </w:r>
          </w:p>
        </w:tc>
        <w:tc>
          <w:tcPr>
            <w:tcW w:w="567" w:type="dxa"/>
            <w:shd w:val="clear" w:color="000000" w:fill="D9D9D9"/>
            <w:vAlign w:val="center"/>
            <w:hideMark/>
          </w:tcPr>
          <w:p w14:paraId="7B3E2B90" w14:textId="77777777" w:rsidR="00D02CB0" w:rsidRPr="00145C61" w:rsidRDefault="00D02CB0" w:rsidP="00943D70">
            <w:pPr>
              <w:jc w:val="center"/>
              <w:rPr>
                <w:rFonts w:cs="Calibri"/>
                <w:b/>
                <w:bCs/>
                <w:sz w:val="16"/>
                <w:szCs w:val="16"/>
              </w:rPr>
            </w:pPr>
            <w:r w:rsidRPr="00145C61">
              <w:rPr>
                <w:rFonts w:cs="Calibri"/>
                <w:b/>
                <w:bCs/>
                <w:sz w:val="16"/>
                <w:szCs w:val="16"/>
              </w:rPr>
              <w:t>Type</w:t>
            </w:r>
          </w:p>
        </w:tc>
        <w:tc>
          <w:tcPr>
            <w:tcW w:w="567" w:type="dxa"/>
            <w:shd w:val="clear" w:color="000000" w:fill="D9D9D9"/>
            <w:vAlign w:val="center"/>
            <w:hideMark/>
          </w:tcPr>
          <w:p w14:paraId="1B1A2F65" w14:textId="77777777" w:rsidR="00D02CB0" w:rsidRPr="00145C61" w:rsidRDefault="00D02CB0" w:rsidP="00943D70">
            <w:pPr>
              <w:jc w:val="center"/>
              <w:rPr>
                <w:rFonts w:cs="Calibri"/>
                <w:b/>
                <w:bCs/>
                <w:sz w:val="16"/>
                <w:szCs w:val="16"/>
              </w:rPr>
            </w:pPr>
            <w:r w:rsidRPr="00145C61">
              <w:rPr>
                <w:rFonts w:cs="Calibri"/>
                <w:b/>
                <w:bCs/>
                <w:sz w:val="16"/>
                <w:szCs w:val="16"/>
              </w:rPr>
              <w:t>Logo</w:t>
            </w:r>
          </w:p>
        </w:tc>
        <w:tc>
          <w:tcPr>
            <w:tcW w:w="1134" w:type="dxa"/>
            <w:shd w:val="clear" w:color="000000" w:fill="D9D9D9"/>
            <w:vAlign w:val="center"/>
            <w:hideMark/>
          </w:tcPr>
          <w:p w14:paraId="569907BD" w14:textId="77777777" w:rsidR="00D02CB0" w:rsidRPr="00145C61" w:rsidRDefault="00D02CB0" w:rsidP="00943D70">
            <w:pPr>
              <w:jc w:val="center"/>
              <w:rPr>
                <w:rFonts w:cs="Calibri"/>
                <w:b/>
                <w:bCs/>
                <w:sz w:val="16"/>
                <w:szCs w:val="16"/>
              </w:rPr>
            </w:pPr>
            <w:r w:rsidRPr="00145C61">
              <w:rPr>
                <w:rFonts w:cs="Calibri"/>
                <w:b/>
                <w:bCs/>
                <w:sz w:val="16"/>
                <w:szCs w:val="16"/>
              </w:rPr>
              <w:t>Enveloppe</w:t>
            </w:r>
          </w:p>
        </w:tc>
        <w:tc>
          <w:tcPr>
            <w:tcW w:w="709" w:type="dxa"/>
            <w:shd w:val="clear" w:color="000000" w:fill="D9D9D9"/>
            <w:vAlign w:val="center"/>
            <w:hideMark/>
          </w:tcPr>
          <w:p w14:paraId="47CAB387" w14:textId="77777777" w:rsidR="00D02CB0" w:rsidRPr="00145C61" w:rsidRDefault="00D02CB0" w:rsidP="00943D70">
            <w:pPr>
              <w:jc w:val="center"/>
              <w:rPr>
                <w:rFonts w:cs="Calibri"/>
                <w:b/>
                <w:bCs/>
                <w:sz w:val="16"/>
                <w:szCs w:val="16"/>
              </w:rPr>
            </w:pPr>
            <w:r w:rsidRPr="00145C61">
              <w:rPr>
                <w:rFonts w:cs="Calibri"/>
                <w:b/>
                <w:bCs/>
                <w:sz w:val="16"/>
                <w:szCs w:val="16"/>
              </w:rPr>
              <w:t>Encart</w:t>
            </w:r>
          </w:p>
        </w:tc>
        <w:tc>
          <w:tcPr>
            <w:tcW w:w="709" w:type="dxa"/>
            <w:shd w:val="clear" w:color="000000" w:fill="D9D9D9"/>
            <w:vAlign w:val="center"/>
            <w:hideMark/>
          </w:tcPr>
          <w:p w14:paraId="46562207" w14:textId="28BC337E" w:rsidR="00D02CB0" w:rsidRPr="00145C61" w:rsidRDefault="00D02CB0" w:rsidP="00943D70">
            <w:pPr>
              <w:jc w:val="center"/>
              <w:rPr>
                <w:rFonts w:cs="Calibri"/>
                <w:b/>
                <w:bCs/>
                <w:sz w:val="16"/>
                <w:szCs w:val="16"/>
              </w:rPr>
            </w:pPr>
            <w:proofErr w:type="spellStart"/>
            <w:r w:rsidRPr="00145C61">
              <w:rPr>
                <w:rFonts w:cs="Calibri"/>
                <w:b/>
                <w:bCs/>
                <w:sz w:val="16"/>
                <w:szCs w:val="16"/>
              </w:rPr>
              <w:t>Prédé</w:t>
            </w:r>
            <w:proofErr w:type="spellEnd"/>
          </w:p>
        </w:tc>
        <w:tc>
          <w:tcPr>
            <w:tcW w:w="2976" w:type="dxa"/>
            <w:shd w:val="clear" w:color="000000" w:fill="D9D9D9"/>
            <w:vAlign w:val="center"/>
            <w:hideMark/>
          </w:tcPr>
          <w:p w14:paraId="7164342A" w14:textId="77777777" w:rsidR="00D02CB0" w:rsidRPr="00145C61" w:rsidRDefault="00D02CB0" w:rsidP="00943D70">
            <w:pPr>
              <w:jc w:val="center"/>
              <w:rPr>
                <w:rFonts w:cs="Calibri"/>
                <w:b/>
                <w:bCs/>
                <w:sz w:val="16"/>
                <w:szCs w:val="16"/>
              </w:rPr>
            </w:pPr>
            <w:r w:rsidRPr="00145C61">
              <w:rPr>
                <w:rFonts w:cs="Calibri"/>
                <w:b/>
                <w:bCs/>
                <w:sz w:val="16"/>
                <w:szCs w:val="16"/>
              </w:rPr>
              <w:t>Particularités</w:t>
            </w:r>
          </w:p>
        </w:tc>
      </w:tr>
      <w:tr w:rsidR="00145C61" w:rsidRPr="00DC3DD4" w14:paraId="4F395086" w14:textId="77777777" w:rsidTr="004222E3">
        <w:trPr>
          <w:cantSplit/>
          <w:trHeight w:val="340"/>
        </w:trPr>
        <w:tc>
          <w:tcPr>
            <w:tcW w:w="704" w:type="dxa"/>
            <w:shd w:val="clear" w:color="auto" w:fill="auto"/>
            <w:noWrap/>
            <w:vAlign w:val="center"/>
            <w:hideMark/>
          </w:tcPr>
          <w:p w14:paraId="1D5C07B8" w14:textId="77777777" w:rsidR="00D02CB0" w:rsidRPr="00DC3DD4" w:rsidRDefault="00D02CB0" w:rsidP="00943D70">
            <w:pPr>
              <w:rPr>
                <w:rFonts w:cs="Calibri"/>
                <w:b/>
                <w:bCs/>
              </w:rPr>
            </w:pPr>
            <w:r w:rsidRPr="00DC3DD4">
              <w:rPr>
                <w:rFonts w:cs="Calibri"/>
                <w:b/>
                <w:bCs/>
              </w:rPr>
              <w:t>F0</w:t>
            </w:r>
          </w:p>
        </w:tc>
        <w:tc>
          <w:tcPr>
            <w:tcW w:w="851" w:type="dxa"/>
            <w:shd w:val="clear" w:color="auto" w:fill="auto"/>
            <w:noWrap/>
            <w:vAlign w:val="center"/>
            <w:hideMark/>
          </w:tcPr>
          <w:p w14:paraId="6EA0DC55"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2C319574" w14:textId="77777777" w:rsidR="00D02CB0" w:rsidRPr="00DC3DD4" w:rsidRDefault="00D02CB0" w:rsidP="00943D70">
            <w:pPr>
              <w:rPr>
                <w:rFonts w:cs="Calibri"/>
                <w:bCs/>
              </w:rPr>
            </w:pPr>
            <w:r w:rsidRPr="00DC3DD4">
              <w:rPr>
                <w:rFonts w:cs="Calibri"/>
                <w:bCs/>
              </w:rPr>
              <w:t>90</w:t>
            </w:r>
          </w:p>
        </w:tc>
        <w:tc>
          <w:tcPr>
            <w:tcW w:w="709" w:type="dxa"/>
            <w:shd w:val="clear" w:color="auto" w:fill="auto"/>
            <w:noWrap/>
            <w:vAlign w:val="center"/>
            <w:hideMark/>
          </w:tcPr>
          <w:p w14:paraId="053F3E43"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tcPr>
          <w:p w14:paraId="66444FE1" w14:textId="77777777" w:rsidR="00D02CB0" w:rsidRPr="00DC3DD4" w:rsidRDefault="00D02CB0" w:rsidP="00943D70">
            <w:pPr>
              <w:rPr>
                <w:rFonts w:cs="Calibri"/>
                <w:bCs/>
              </w:rPr>
            </w:pPr>
            <w:r w:rsidRPr="00DC3DD4">
              <w:rPr>
                <w:rFonts w:cs="Calibri"/>
                <w:bCs/>
              </w:rPr>
              <w:t>NB</w:t>
            </w:r>
          </w:p>
        </w:tc>
        <w:tc>
          <w:tcPr>
            <w:tcW w:w="567" w:type="dxa"/>
            <w:shd w:val="clear" w:color="000000" w:fill="FFFFFF"/>
            <w:noWrap/>
            <w:vAlign w:val="center"/>
          </w:tcPr>
          <w:p w14:paraId="65B945C6" w14:textId="77777777" w:rsidR="00D02CB0" w:rsidRPr="00DC3DD4" w:rsidRDefault="00D02CB0" w:rsidP="00943D70">
            <w:pPr>
              <w:rPr>
                <w:rFonts w:cs="Calibri"/>
                <w:bCs/>
              </w:rPr>
            </w:pPr>
            <w:r w:rsidRPr="00DC3DD4">
              <w:rPr>
                <w:rFonts w:cs="Calibri"/>
                <w:bCs/>
              </w:rPr>
              <w:t>O</w:t>
            </w:r>
          </w:p>
        </w:tc>
        <w:tc>
          <w:tcPr>
            <w:tcW w:w="1134" w:type="dxa"/>
            <w:shd w:val="clear" w:color="auto" w:fill="auto"/>
            <w:noWrap/>
            <w:vAlign w:val="center"/>
            <w:hideMark/>
          </w:tcPr>
          <w:p w14:paraId="0FB6B15F" w14:textId="77777777" w:rsidR="00D02CB0" w:rsidRPr="00DC3DD4" w:rsidRDefault="00D02CB0" w:rsidP="00943D70">
            <w:pPr>
              <w:rPr>
                <w:rFonts w:cs="Calibri"/>
                <w:bCs/>
              </w:rPr>
            </w:pPr>
            <w:r w:rsidRPr="00DC3DD4">
              <w:rPr>
                <w:rFonts w:cs="Calibri"/>
                <w:bCs/>
              </w:rPr>
              <w:t>DL</w:t>
            </w:r>
          </w:p>
        </w:tc>
        <w:tc>
          <w:tcPr>
            <w:tcW w:w="709" w:type="dxa"/>
            <w:shd w:val="clear" w:color="000000" w:fill="FFFFFF"/>
            <w:noWrap/>
            <w:vAlign w:val="center"/>
            <w:hideMark/>
          </w:tcPr>
          <w:p w14:paraId="6EBF4753" w14:textId="77777777" w:rsidR="00D02CB0" w:rsidRPr="00DC3DD4" w:rsidRDefault="00D02CB0" w:rsidP="00943D70">
            <w:pPr>
              <w:rPr>
                <w:rFonts w:cs="Calibri"/>
                <w:bCs/>
              </w:rPr>
            </w:pPr>
            <w:r w:rsidRPr="00DC3DD4">
              <w:rPr>
                <w:rFonts w:cs="Calibri"/>
                <w:bCs/>
              </w:rPr>
              <w:t>O</w:t>
            </w:r>
          </w:p>
        </w:tc>
        <w:tc>
          <w:tcPr>
            <w:tcW w:w="709" w:type="dxa"/>
            <w:shd w:val="clear" w:color="000000" w:fill="FFFFFF"/>
            <w:noWrap/>
            <w:vAlign w:val="center"/>
            <w:hideMark/>
          </w:tcPr>
          <w:p w14:paraId="3B2035BC" w14:textId="77777777" w:rsidR="00D02CB0" w:rsidRPr="00DC3DD4" w:rsidRDefault="00D02CB0" w:rsidP="00943D70">
            <w:pPr>
              <w:rPr>
                <w:rFonts w:cs="Calibri"/>
                <w:bCs/>
              </w:rPr>
            </w:pPr>
            <w:r w:rsidRPr="00DC3DD4">
              <w:rPr>
                <w:rFonts w:cs="Calibri"/>
                <w:bCs/>
              </w:rPr>
              <w:t>O</w:t>
            </w:r>
          </w:p>
        </w:tc>
        <w:tc>
          <w:tcPr>
            <w:tcW w:w="2976" w:type="dxa"/>
            <w:shd w:val="clear" w:color="auto" w:fill="auto"/>
            <w:vAlign w:val="center"/>
            <w:hideMark/>
          </w:tcPr>
          <w:p w14:paraId="5DBA4D6E" w14:textId="77777777" w:rsidR="00D02CB0" w:rsidRPr="00DC3DD4" w:rsidRDefault="00D02CB0" w:rsidP="00BA4DA0">
            <w:pPr>
              <w:jc w:val="left"/>
              <w:rPr>
                <w:rFonts w:cs="Calibri"/>
                <w:bCs/>
              </w:rPr>
            </w:pPr>
            <w:r w:rsidRPr="00DC3DD4">
              <w:rPr>
                <w:rFonts w:cs="Calibri"/>
                <w:bCs/>
              </w:rPr>
              <w:t>Insertion en mise sous pli d’une enveloppe retour « Trésor Public »</w:t>
            </w:r>
          </w:p>
        </w:tc>
      </w:tr>
      <w:tr w:rsidR="00145C61" w:rsidRPr="00DC3DD4" w14:paraId="41C3E88E" w14:textId="77777777" w:rsidTr="004222E3">
        <w:trPr>
          <w:cantSplit/>
          <w:trHeight w:val="340"/>
        </w:trPr>
        <w:tc>
          <w:tcPr>
            <w:tcW w:w="704" w:type="dxa"/>
            <w:shd w:val="clear" w:color="auto" w:fill="auto"/>
            <w:noWrap/>
            <w:vAlign w:val="center"/>
            <w:hideMark/>
          </w:tcPr>
          <w:p w14:paraId="64D2FD2B" w14:textId="77777777" w:rsidR="00D02CB0" w:rsidRPr="00DC3DD4" w:rsidRDefault="00D02CB0" w:rsidP="00943D70">
            <w:pPr>
              <w:rPr>
                <w:rFonts w:cs="Calibri"/>
                <w:b/>
                <w:bCs/>
              </w:rPr>
            </w:pPr>
            <w:r w:rsidRPr="00DC3DD4">
              <w:rPr>
                <w:rFonts w:cs="Calibri"/>
                <w:b/>
                <w:bCs/>
              </w:rPr>
              <w:t>F1</w:t>
            </w:r>
          </w:p>
        </w:tc>
        <w:tc>
          <w:tcPr>
            <w:tcW w:w="851" w:type="dxa"/>
            <w:shd w:val="clear" w:color="auto" w:fill="auto"/>
            <w:noWrap/>
            <w:vAlign w:val="center"/>
            <w:hideMark/>
          </w:tcPr>
          <w:p w14:paraId="0D474852"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02AE2246"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hideMark/>
          </w:tcPr>
          <w:p w14:paraId="6D65788C"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tcPr>
          <w:p w14:paraId="68CE77A3" w14:textId="77777777" w:rsidR="00D02CB0" w:rsidRPr="00DC3DD4" w:rsidRDefault="00D02CB0" w:rsidP="00943D70">
            <w:pPr>
              <w:rPr>
                <w:rFonts w:cs="Calibri"/>
                <w:bCs/>
              </w:rPr>
            </w:pPr>
            <w:r w:rsidRPr="00DC3DD4">
              <w:rPr>
                <w:rFonts w:cs="Calibri"/>
                <w:bCs/>
              </w:rPr>
              <w:t>NB</w:t>
            </w:r>
          </w:p>
        </w:tc>
        <w:tc>
          <w:tcPr>
            <w:tcW w:w="567" w:type="dxa"/>
            <w:shd w:val="clear" w:color="000000" w:fill="FFFFFF"/>
            <w:noWrap/>
            <w:vAlign w:val="center"/>
          </w:tcPr>
          <w:p w14:paraId="53D0A4D2" w14:textId="77777777" w:rsidR="00D02CB0" w:rsidRPr="00DC3DD4" w:rsidRDefault="00D02CB0" w:rsidP="00943D70">
            <w:pPr>
              <w:rPr>
                <w:rFonts w:cs="Calibri"/>
                <w:bCs/>
              </w:rPr>
            </w:pPr>
            <w:r w:rsidRPr="00DC3DD4">
              <w:rPr>
                <w:rFonts w:cs="Calibri"/>
                <w:bCs/>
              </w:rPr>
              <w:t>O</w:t>
            </w:r>
          </w:p>
        </w:tc>
        <w:tc>
          <w:tcPr>
            <w:tcW w:w="1134" w:type="dxa"/>
            <w:shd w:val="clear" w:color="auto" w:fill="auto"/>
            <w:noWrap/>
            <w:vAlign w:val="center"/>
            <w:hideMark/>
          </w:tcPr>
          <w:p w14:paraId="064FE8C1" w14:textId="77777777" w:rsidR="00D02CB0" w:rsidRPr="00DC3DD4" w:rsidRDefault="00D02CB0" w:rsidP="00943D70">
            <w:pPr>
              <w:rPr>
                <w:rFonts w:cs="Calibri"/>
                <w:bCs/>
              </w:rPr>
            </w:pPr>
            <w:r w:rsidRPr="00DC3DD4">
              <w:rPr>
                <w:rFonts w:cs="Calibri"/>
                <w:bCs/>
              </w:rPr>
              <w:t>DL</w:t>
            </w:r>
          </w:p>
        </w:tc>
        <w:tc>
          <w:tcPr>
            <w:tcW w:w="709" w:type="dxa"/>
            <w:shd w:val="clear" w:color="auto" w:fill="auto"/>
            <w:noWrap/>
            <w:vAlign w:val="center"/>
            <w:hideMark/>
          </w:tcPr>
          <w:p w14:paraId="42A0ED22" w14:textId="77777777" w:rsidR="00D02CB0" w:rsidRPr="00DC3DD4" w:rsidRDefault="00D02CB0" w:rsidP="00943D70">
            <w:pPr>
              <w:rPr>
                <w:rFonts w:cs="Calibri"/>
                <w:bCs/>
              </w:rPr>
            </w:pPr>
            <w:r w:rsidRPr="00DC3DD4">
              <w:rPr>
                <w:rFonts w:cs="Calibri"/>
                <w:bCs/>
              </w:rPr>
              <w:t>N</w:t>
            </w:r>
          </w:p>
        </w:tc>
        <w:tc>
          <w:tcPr>
            <w:tcW w:w="709" w:type="dxa"/>
            <w:shd w:val="clear" w:color="auto" w:fill="auto"/>
            <w:noWrap/>
            <w:vAlign w:val="center"/>
            <w:hideMark/>
          </w:tcPr>
          <w:p w14:paraId="32B613F5" w14:textId="77777777" w:rsidR="00D02CB0" w:rsidRPr="00DC3DD4" w:rsidRDefault="00D02CB0" w:rsidP="00943D70">
            <w:pPr>
              <w:rPr>
                <w:rFonts w:cs="Calibri"/>
                <w:bCs/>
              </w:rPr>
            </w:pPr>
            <w:r w:rsidRPr="00DC3DD4">
              <w:rPr>
                <w:rFonts w:cs="Calibri"/>
                <w:bCs/>
              </w:rPr>
              <w:t>N</w:t>
            </w:r>
          </w:p>
        </w:tc>
        <w:tc>
          <w:tcPr>
            <w:tcW w:w="2976" w:type="dxa"/>
            <w:shd w:val="clear" w:color="auto" w:fill="auto"/>
            <w:vAlign w:val="center"/>
            <w:hideMark/>
          </w:tcPr>
          <w:p w14:paraId="0E287958" w14:textId="77777777" w:rsidR="00D02CB0" w:rsidRPr="00DC3DD4" w:rsidRDefault="00D02CB0" w:rsidP="00BA4DA0">
            <w:pPr>
              <w:jc w:val="left"/>
              <w:rPr>
                <w:rFonts w:cs="Calibri"/>
                <w:bCs/>
              </w:rPr>
            </w:pPr>
            <w:r w:rsidRPr="00DC3DD4">
              <w:rPr>
                <w:rFonts w:cs="Calibri"/>
                <w:bCs/>
              </w:rPr>
              <w:t> </w:t>
            </w:r>
          </w:p>
        </w:tc>
      </w:tr>
      <w:tr w:rsidR="00145C61" w:rsidRPr="00DC3DD4" w14:paraId="35AB7D0A" w14:textId="77777777" w:rsidTr="004222E3">
        <w:trPr>
          <w:cantSplit/>
          <w:trHeight w:val="340"/>
        </w:trPr>
        <w:tc>
          <w:tcPr>
            <w:tcW w:w="704" w:type="dxa"/>
            <w:shd w:val="clear" w:color="auto" w:fill="auto"/>
            <w:noWrap/>
            <w:vAlign w:val="center"/>
            <w:hideMark/>
          </w:tcPr>
          <w:p w14:paraId="13BD6349" w14:textId="77777777" w:rsidR="00D02CB0" w:rsidRPr="00DC3DD4" w:rsidRDefault="00D02CB0" w:rsidP="00943D70">
            <w:pPr>
              <w:rPr>
                <w:rFonts w:cs="Calibri"/>
                <w:b/>
                <w:bCs/>
              </w:rPr>
            </w:pPr>
            <w:r w:rsidRPr="00DC3DD4">
              <w:rPr>
                <w:rFonts w:cs="Calibri"/>
                <w:b/>
                <w:bCs/>
              </w:rPr>
              <w:t>F3</w:t>
            </w:r>
          </w:p>
        </w:tc>
        <w:tc>
          <w:tcPr>
            <w:tcW w:w="851" w:type="dxa"/>
            <w:shd w:val="clear" w:color="auto" w:fill="auto"/>
            <w:noWrap/>
            <w:vAlign w:val="center"/>
            <w:hideMark/>
          </w:tcPr>
          <w:p w14:paraId="639696DF"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2326E16C"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hideMark/>
          </w:tcPr>
          <w:p w14:paraId="25A2C21B"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tcPr>
          <w:p w14:paraId="6FFD3F6D" w14:textId="77777777" w:rsidR="00D02CB0" w:rsidRPr="00DC3DD4" w:rsidRDefault="00D02CB0" w:rsidP="00943D70">
            <w:pPr>
              <w:rPr>
                <w:rFonts w:cs="Calibri"/>
                <w:bCs/>
              </w:rPr>
            </w:pPr>
            <w:r w:rsidRPr="00DC3DD4">
              <w:rPr>
                <w:rFonts w:cs="Calibri"/>
                <w:bCs/>
              </w:rPr>
              <w:t>NB</w:t>
            </w:r>
          </w:p>
        </w:tc>
        <w:tc>
          <w:tcPr>
            <w:tcW w:w="567" w:type="dxa"/>
            <w:shd w:val="clear" w:color="000000" w:fill="FFFFFF"/>
            <w:noWrap/>
            <w:vAlign w:val="center"/>
          </w:tcPr>
          <w:p w14:paraId="61772C96" w14:textId="77777777" w:rsidR="00D02CB0" w:rsidRPr="00DC3DD4" w:rsidRDefault="00D02CB0" w:rsidP="00943D70">
            <w:pPr>
              <w:rPr>
                <w:rFonts w:cs="Calibri"/>
                <w:bCs/>
              </w:rPr>
            </w:pPr>
            <w:r w:rsidRPr="00DC3DD4">
              <w:rPr>
                <w:rFonts w:cs="Calibri"/>
                <w:bCs/>
              </w:rPr>
              <w:t>O</w:t>
            </w:r>
          </w:p>
        </w:tc>
        <w:tc>
          <w:tcPr>
            <w:tcW w:w="1134" w:type="dxa"/>
            <w:shd w:val="clear" w:color="auto" w:fill="auto"/>
            <w:noWrap/>
            <w:vAlign w:val="center"/>
            <w:hideMark/>
          </w:tcPr>
          <w:p w14:paraId="33F6573A" w14:textId="77777777" w:rsidR="00D02CB0" w:rsidRPr="00DC3DD4" w:rsidRDefault="00D02CB0" w:rsidP="00943D70">
            <w:pPr>
              <w:rPr>
                <w:rFonts w:cs="Calibri"/>
                <w:bCs/>
              </w:rPr>
            </w:pPr>
            <w:r w:rsidRPr="00DC3DD4">
              <w:rPr>
                <w:rFonts w:cs="Calibri"/>
                <w:bCs/>
              </w:rPr>
              <w:t>C4/C5/DL</w:t>
            </w:r>
          </w:p>
        </w:tc>
        <w:tc>
          <w:tcPr>
            <w:tcW w:w="709" w:type="dxa"/>
            <w:shd w:val="clear" w:color="auto" w:fill="auto"/>
            <w:noWrap/>
            <w:vAlign w:val="center"/>
            <w:hideMark/>
          </w:tcPr>
          <w:p w14:paraId="0C7D12A8" w14:textId="77777777" w:rsidR="00D02CB0" w:rsidRPr="00DC3DD4" w:rsidRDefault="00D02CB0" w:rsidP="00943D70">
            <w:pPr>
              <w:rPr>
                <w:rFonts w:cs="Calibri"/>
                <w:bCs/>
              </w:rPr>
            </w:pPr>
            <w:r w:rsidRPr="00DC3DD4">
              <w:rPr>
                <w:rFonts w:cs="Calibri"/>
                <w:bCs/>
              </w:rPr>
              <w:t>N</w:t>
            </w:r>
          </w:p>
        </w:tc>
        <w:tc>
          <w:tcPr>
            <w:tcW w:w="709" w:type="dxa"/>
            <w:shd w:val="clear" w:color="auto" w:fill="auto"/>
            <w:noWrap/>
            <w:vAlign w:val="center"/>
            <w:hideMark/>
          </w:tcPr>
          <w:p w14:paraId="35416E8E" w14:textId="77777777" w:rsidR="00D02CB0" w:rsidRPr="00DC3DD4" w:rsidRDefault="00D02CB0" w:rsidP="00943D70">
            <w:pPr>
              <w:rPr>
                <w:rFonts w:cs="Calibri"/>
                <w:bCs/>
              </w:rPr>
            </w:pPr>
            <w:r w:rsidRPr="00DC3DD4">
              <w:rPr>
                <w:rFonts w:cs="Calibri"/>
                <w:bCs/>
              </w:rPr>
              <w:t>N</w:t>
            </w:r>
          </w:p>
        </w:tc>
        <w:tc>
          <w:tcPr>
            <w:tcW w:w="2976" w:type="dxa"/>
            <w:shd w:val="clear" w:color="auto" w:fill="auto"/>
            <w:vAlign w:val="center"/>
            <w:hideMark/>
          </w:tcPr>
          <w:p w14:paraId="2A3B07EB" w14:textId="77777777" w:rsidR="00D02CB0" w:rsidRPr="00DC3DD4" w:rsidRDefault="00D02CB0" w:rsidP="00BA4DA0">
            <w:pPr>
              <w:jc w:val="left"/>
              <w:rPr>
                <w:rFonts w:cs="Calibri"/>
                <w:bCs/>
              </w:rPr>
            </w:pPr>
            <w:r w:rsidRPr="00DC3DD4">
              <w:rPr>
                <w:rFonts w:cs="Calibri"/>
                <w:bCs/>
              </w:rPr>
              <w:t> </w:t>
            </w:r>
          </w:p>
        </w:tc>
      </w:tr>
      <w:tr w:rsidR="00145C61" w:rsidRPr="00DC3DD4" w14:paraId="6BE34F0F" w14:textId="77777777" w:rsidTr="004222E3">
        <w:trPr>
          <w:cantSplit/>
          <w:trHeight w:val="340"/>
        </w:trPr>
        <w:tc>
          <w:tcPr>
            <w:tcW w:w="704" w:type="dxa"/>
            <w:shd w:val="clear" w:color="auto" w:fill="auto"/>
            <w:noWrap/>
            <w:vAlign w:val="center"/>
            <w:hideMark/>
          </w:tcPr>
          <w:p w14:paraId="0EE8CB18" w14:textId="77777777" w:rsidR="00D02CB0" w:rsidRPr="00DC3DD4" w:rsidRDefault="00D02CB0" w:rsidP="00943D70">
            <w:pPr>
              <w:rPr>
                <w:rFonts w:cs="Calibri"/>
                <w:b/>
                <w:bCs/>
              </w:rPr>
            </w:pPr>
            <w:r w:rsidRPr="00DC3DD4">
              <w:rPr>
                <w:rFonts w:cs="Calibri"/>
                <w:b/>
                <w:bCs/>
              </w:rPr>
              <w:t>F4</w:t>
            </w:r>
          </w:p>
        </w:tc>
        <w:tc>
          <w:tcPr>
            <w:tcW w:w="851" w:type="dxa"/>
            <w:shd w:val="clear" w:color="auto" w:fill="auto"/>
            <w:noWrap/>
            <w:vAlign w:val="center"/>
            <w:hideMark/>
          </w:tcPr>
          <w:p w14:paraId="13C3FEC2"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6111244D"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hideMark/>
          </w:tcPr>
          <w:p w14:paraId="69AA9748" w14:textId="77777777" w:rsidR="00D02CB0" w:rsidRPr="00DC3DD4" w:rsidRDefault="00D02CB0" w:rsidP="00943D70">
            <w:pPr>
              <w:rPr>
                <w:rFonts w:cs="Calibri"/>
                <w:bCs/>
              </w:rPr>
            </w:pPr>
            <w:r w:rsidRPr="00DC3DD4">
              <w:rPr>
                <w:rFonts w:cs="Calibri"/>
                <w:bCs/>
              </w:rPr>
              <w:t>RS</w:t>
            </w:r>
          </w:p>
        </w:tc>
        <w:tc>
          <w:tcPr>
            <w:tcW w:w="567" w:type="dxa"/>
            <w:shd w:val="clear" w:color="auto" w:fill="auto"/>
            <w:noWrap/>
            <w:vAlign w:val="center"/>
          </w:tcPr>
          <w:p w14:paraId="507A81EB" w14:textId="77777777" w:rsidR="00D02CB0" w:rsidRPr="00DC3DD4" w:rsidRDefault="00D02CB0" w:rsidP="00943D70">
            <w:pPr>
              <w:rPr>
                <w:rFonts w:cs="Calibri"/>
                <w:bCs/>
              </w:rPr>
            </w:pPr>
            <w:r w:rsidRPr="00DC3DD4">
              <w:rPr>
                <w:rFonts w:cs="Calibri"/>
                <w:bCs/>
              </w:rPr>
              <w:t>NB</w:t>
            </w:r>
          </w:p>
        </w:tc>
        <w:tc>
          <w:tcPr>
            <w:tcW w:w="567" w:type="dxa"/>
            <w:shd w:val="clear" w:color="000000" w:fill="FFFFFF"/>
            <w:noWrap/>
            <w:vAlign w:val="center"/>
          </w:tcPr>
          <w:p w14:paraId="06D6E945" w14:textId="77777777" w:rsidR="00D02CB0" w:rsidRPr="00DC3DD4" w:rsidRDefault="00D02CB0" w:rsidP="00943D70">
            <w:pPr>
              <w:rPr>
                <w:rFonts w:cs="Calibri"/>
                <w:bCs/>
              </w:rPr>
            </w:pPr>
            <w:r w:rsidRPr="00DC3DD4">
              <w:rPr>
                <w:rFonts w:cs="Calibri"/>
                <w:bCs/>
              </w:rPr>
              <w:t>O</w:t>
            </w:r>
          </w:p>
        </w:tc>
        <w:tc>
          <w:tcPr>
            <w:tcW w:w="1134" w:type="dxa"/>
            <w:shd w:val="clear" w:color="auto" w:fill="auto"/>
            <w:noWrap/>
            <w:vAlign w:val="center"/>
            <w:hideMark/>
          </w:tcPr>
          <w:p w14:paraId="7DBFA7D2" w14:textId="77777777" w:rsidR="00D02CB0" w:rsidRPr="00DC3DD4" w:rsidRDefault="00D02CB0" w:rsidP="00943D70">
            <w:pPr>
              <w:rPr>
                <w:rFonts w:cs="Calibri"/>
                <w:bCs/>
              </w:rPr>
            </w:pPr>
            <w:r w:rsidRPr="00DC3DD4">
              <w:rPr>
                <w:rFonts w:cs="Calibri"/>
                <w:bCs/>
              </w:rPr>
              <w:t>DL</w:t>
            </w:r>
          </w:p>
        </w:tc>
        <w:tc>
          <w:tcPr>
            <w:tcW w:w="709" w:type="dxa"/>
            <w:shd w:val="clear" w:color="auto" w:fill="auto"/>
            <w:noWrap/>
            <w:vAlign w:val="center"/>
            <w:hideMark/>
          </w:tcPr>
          <w:p w14:paraId="3C96267D" w14:textId="77777777" w:rsidR="00D02CB0" w:rsidRPr="00DC3DD4" w:rsidRDefault="00D02CB0" w:rsidP="00943D70">
            <w:pPr>
              <w:rPr>
                <w:rFonts w:cs="Calibri"/>
                <w:bCs/>
              </w:rPr>
            </w:pPr>
            <w:r w:rsidRPr="00DC3DD4">
              <w:rPr>
                <w:rFonts w:cs="Calibri"/>
                <w:bCs/>
              </w:rPr>
              <w:t>N</w:t>
            </w:r>
          </w:p>
        </w:tc>
        <w:tc>
          <w:tcPr>
            <w:tcW w:w="709" w:type="dxa"/>
            <w:shd w:val="clear" w:color="auto" w:fill="auto"/>
            <w:noWrap/>
            <w:vAlign w:val="center"/>
            <w:hideMark/>
          </w:tcPr>
          <w:p w14:paraId="674F6558" w14:textId="77777777" w:rsidR="00D02CB0" w:rsidRPr="00DC3DD4" w:rsidRDefault="00D02CB0" w:rsidP="00943D70">
            <w:pPr>
              <w:rPr>
                <w:rFonts w:cs="Calibri"/>
                <w:bCs/>
              </w:rPr>
            </w:pPr>
            <w:r w:rsidRPr="00DC3DD4">
              <w:rPr>
                <w:rFonts w:cs="Calibri"/>
                <w:bCs/>
              </w:rPr>
              <w:t>N</w:t>
            </w:r>
          </w:p>
        </w:tc>
        <w:tc>
          <w:tcPr>
            <w:tcW w:w="2976" w:type="dxa"/>
            <w:shd w:val="clear" w:color="auto" w:fill="auto"/>
            <w:vAlign w:val="center"/>
            <w:hideMark/>
          </w:tcPr>
          <w:p w14:paraId="6BEFDC4C" w14:textId="77777777" w:rsidR="00D02CB0" w:rsidRPr="00DC3DD4" w:rsidRDefault="00D02CB0" w:rsidP="00BA4DA0">
            <w:pPr>
              <w:jc w:val="left"/>
              <w:rPr>
                <w:rFonts w:cs="Calibri"/>
                <w:bCs/>
              </w:rPr>
            </w:pPr>
            <w:r w:rsidRPr="00DC3DD4">
              <w:rPr>
                <w:rFonts w:cs="Calibri"/>
                <w:bCs/>
              </w:rPr>
              <w:t> </w:t>
            </w:r>
          </w:p>
        </w:tc>
      </w:tr>
      <w:tr w:rsidR="00145C61" w:rsidRPr="00DC3DD4" w14:paraId="50ED1C17" w14:textId="77777777" w:rsidTr="004222E3">
        <w:trPr>
          <w:cantSplit/>
          <w:trHeight w:val="340"/>
        </w:trPr>
        <w:tc>
          <w:tcPr>
            <w:tcW w:w="704" w:type="dxa"/>
            <w:shd w:val="clear" w:color="auto" w:fill="auto"/>
            <w:noWrap/>
            <w:vAlign w:val="center"/>
            <w:hideMark/>
          </w:tcPr>
          <w:p w14:paraId="0A5CF19B" w14:textId="77777777" w:rsidR="00D02CB0" w:rsidRPr="00DC3DD4" w:rsidRDefault="00D02CB0" w:rsidP="00943D70">
            <w:pPr>
              <w:rPr>
                <w:rFonts w:cs="Calibri"/>
                <w:b/>
                <w:bCs/>
              </w:rPr>
            </w:pPr>
            <w:r w:rsidRPr="00DC3DD4">
              <w:rPr>
                <w:rFonts w:cs="Calibri"/>
                <w:b/>
                <w:bCs/>
              </w:rPr>
              <w:t>F6</w:t>
            </w:r>
          </w:p>
        </w:tc>
        <w:tc>
          <w:tcPr>
            <w:tcW w:w="851" w:type="dxa"/>
            <w:shd w:val="clear" w:color="auto" w:fill="auto"/>
            <w:noWrap/>
            <w:vAlign w:val="center"/>
            <w:hideMark/>
          </w:tcPr>
          <w:p w14:paraId="2AAD843A"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5DB67265"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hideMark/>
          </w:tcPr>
          <w:p w14:paraId="3B4F77EA"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tcPr>
          <w:p w14:paraId="72B82312" w14:textId="77777777" w:rsidR="00D02CB0" w:rsidRPr="00DC3DD4" w:rsidRDefault="00D02CB0" w:rsidP="00943D70">
            <w:pPr>
              <w:rPr>
                <w:rFonts w:cs="Calibri"/>
                <w:bCs/>
              </w:rPr>
            </w:pPr>
            <w:r w:rsidRPr="00DC3DD4">
              <w:rPr>
                <w:rFonts w:cs="Calibri"/>
                <w:bCs/>
              </w:rPr>
              <w:t>NB</w:t>
            </w:r>
          </w:p>
        </w:tc>
        <w:tc>
          <w:tcPr>
            <w:tcW w:w="567" w:type="dxa"/>
            <w:shd w:val="clear" w:color="000000" w:fill="FFFFFF"/>
            <w:noWrap/>
            <w:vAlign w:val="center"/>
          </w:tcPr>
          <w:p w14:paraId="1D266C4B" w14:textId="77777777" w:rsidR="00D02CB0" w:rsidRPr="00DC3DD4" w:rsidRDefault="00D02CB0" w:rsidP="00943D70">
            <w:pPr>
              <w:rPr>
                <w:rFonts w:cs="Calibri"/>
                <w:bCs/>
              </w:rPr>
            </w:pPr>
            <w:r w:rsidRPr="00DC3DD4">
              <w:rPr>
                <w:rFonts w:cs="Calibri"/>
                <w:bCs/>
              </w:rPr>
              <w:t>O</w:t>
            </w:r>
          </w:p>
        </w:tc>
        <w:tc>
          <w:tcPr>
            <w:tcW w:w="1134" w:type="dxa"/>
            <w:shd w:val="clear" w:color="auto" w:fill="auto"/>
            <w:noWrap/>
            <w:vAlign w:val="center"/>
            <w:hideMark/>
          </w:tcPr>
          <w:p w14:paraId="66152B5F" w14:textId="77777777" w:rsidR="00D02CB0" w:rsidRPr="00DC3DD4" w:rsidRDefault="00D02CB0" w:rsidP="00943D70">
            <w:pPr>
              <w:rPr>
                <w:rFonts w:cs="Calibri"/>
                <w:bCs/>
              </w:rPr>
            </w:pPr>
            <w:r w:rsidRPr="00DC3DD4">
              <w:rPr>
                <w:rFonts w:cs="Calibri"/>
                <w:bCs/>
              </w:rPr>
              <w:t>DL</w:t>
            </w:r>
          </w:p>
        </w:tc>
        <w:tc>
          <w:tcPr>
            <w:tcW w:w="709" w:type="dxa"/>
            <w:shd w:val="clear" w:color="auto" w:fill="auto"/>
            <w:noWrap/>
            <w:vAlign w:val="center"/>
            <w:hideMark/>
          </w:tcPr>
          <w:p w14:paraId="552DC935" w14:textId="77777777" w:rsidR="00D02CB0" w:rsidRPr="00DC3DD4" w:rsidRDefault="00D02CB0" w:rsidP="00943D70">
            <w:pPr>
              <w:rPr>
                <w:rFonts w:cs="Calibri"/>
                <w:bCs/>
              </w:rPr>
            </w:pPr>
            <w:r w:rsidRPr="00DC3DD4">
              <w:rPr>
                <w:rFonts w:cs="Calibri"/>
                <w:bCs/>
              </w:rPr>
              <w:t>O</w:t>
            </w:r>
          </w:p>
        </w:tc>
        <w:tc>
          <w:tcPr>
            <w:tcW w:w="709" w:type="dxa"/>
            <w:shd w:val="clear" w:color="auto" w:fill="auto"/>
            <w:noWrap/>
            <w:vAlign w:val="center"/>
            <w:hideMark/>
          </w:tcPr>
          <w:p w14:paraId="588CCD18" w14:textId="77777777" w:rsidR="00D02CB0" w:rsidRPr="00DC3DD4" w:rsidRDefault="00D02CB0" w:rsidP="00943D70">
            <w:pPr>
              <w:rPr>
                <w:rFonts w:cs="Calibri"/>
                <w:bCs/>
              </w:rPr>
            </w:pPr>
            <w:r w:rsidRPr="00DC3DD4">
              <w:rPr>
                <w:rFonts w:cs="Calibri"/>
                <w:bCs/>
              </w:rPr>
              <w:t>N</w:t>
            </w:r>
          </w:p>
        </w:tc>
        <w:tc>
          <w:tcPr>
            <w:tcW w:w="2976" w:type="dxa"/>
            <w:shd w:val="clear" w:color="auto" w:fill="auto"/>
            <w:vAlign w:val="center"/>
            <w:hideMark/>
          </w:tcPr>
          <w:p w14:paraId="2CA4FF91" w14:textId="77777777" w:rsidR="00D02CB0" w:rsidRPr="00DC3DD4" w:rsidRDefault="00D02CB0" w:rsidP="00BA4DA0">
            <w:pPr>
              <w:jc w:val="left"/>
              <w:rPr>
                <w:rFonts w:cs="Calibri"/>
                <w:bCs/>
              </w:rPr>
            </w:pPr>
          </w:p>
        </w:tc>
      </w:tr>
      <w:tr w:rsidR="00145C61" w:rsidRPr="00DC3DD4" w14:paraId="7F899D93" w14:textId="77777777" w:rsidTr="004222E3">
        <w:trPr>
          <w:cantSplit/>
          <w:trHeight w:val="340"/>
        </w:trPr>
        <w:tc>
          <w:tcPr>
            <w:tcW w:w="704" w:type="dxa"/>
            <w:shd w:val="clear" w:color="auto" w:fill="auto"/>
            <w:noWrap/>
            <w:vAlign w:val="center"/>
            <w:hideMark/>
          </w:tcPr>
          <w:p w14:paraId="2A17FE34" w14:textId="77777777" w:rsidR="00D02CB0" w:rsidRPr="00DC3DD4" w:rsidRDefault="00D02CB0" w:rsidP="00943D70">
            <w:pPr>
              <w:rPr>
                <w:rFonts w:cs="Calibri"/>
                <w:b/>
                <w:bCs/>
              </w:rPr>
            </w:pPr>
            <w:r w:rsidRPr="00DC3DD4">
              <w:rPr>
                <w:rFonts w:cs="Calibri"/>
                <w:b/>
                <w:bCs/>
              </w:rPr>
              <w:lastRenderedPageBreak/>
              <w:t>F20</w:t>
            </w:r>
          </w:p>
        </w:tc>
        <w:tc>
          <w:tcPr>
            <w:tcW w:w="851" w:type="dxa"/>
            <w:shd w:val="clear" w:color="auto" w:fill="auto"/>
            <w:noWrap/>
            <w:vAlign w:val="center"/>
            <w:hideMark/>
          </w:tcPr>
          <w:p w14:paraId="757FE110"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45EA0A4A"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hideMark/>
          </w:tcPr>
          <w:p w14:paraId="3E998CE1"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hideMark/>
          </w:tcPr>
          <w:p w14:paraId="23BE5EF8" w14:textId="77777777" w:rsidR="00D02CB0" w:rsidRPr="00DC3DD4" w:rsidRDefault="00D02CB0" w:rsidP="00943D70">
            <w:pPr>
              <w:rPr>
                <w:rFonts w:cs="Calibri"/>
                <w:bCs/>
              </w:rPr>
            </w:pPr>
            <w:r w:rsidRPr="00DC3DD4">
              <w:rPr>
                <w:rFonts w:cs="Calibri"/>
                <w:bCs/>
              </w:rPr>
              <w:t>QC</w:t>
            </w:r>
          </w:p>
        </w:tc>
        <w:tc>
          <w:tcPr>
            <w:tcW w:w="567" w:type="dxa"/>
            <w:shd w:val="clear" w:color="000000" w:fill="FFFFFF"/>
            <w:noWrap/>
            <w:vAlign w:val="center"/>
          </w:tcPr>
          <w:p w14:paraId="594E11A8" w14:textId="4D7409DF" w:rsidR="00D02CB0" w:rsidRPr="00DC3DD4" w:rsidRDefault="00D02CB0" w:rsidP="00943D70">
            <w:pPr>
              <w:rPr>
                <w:rFonts w:cs="Calibri"/>
                <w:bCs/>
              </w:rPr>
            </w:pPr>
            <w:r w:rsidRPr="00DC3DD4">
              <w:rPr>
                <w:rFonts w:cs="Calibri"/>
                <w:bCs/>
              </w:rPr>
              <w:t>O</w:t>
            </w:r>
            <w:r w:rsidR="004222E3">
              <w:rPr>
                <w:rFonts w:cs="Calibri"/>
                <w:bCs/>
              </w:rPr>
              <w:t>ui</w:t>
            </w:r>
          </w:p>
        </w:tc>
        <w:tc>
          <w:tcPr>
            <w:tcW w:w="1134" w:type="dxa"/>
            <w:shd w:val="clear" w:color="auto" w:fill="auto"/>
            <w:noWrap/>
            <w:vAlign w:val="center"/>
            <w:hideMark/>
          </w:tcPr>
          <w:p w14:paraId="23083166" w14:textId="77777777" w:rsidR="00D02CB0" w:rsidRPr="00DC3DD4" w:rsidRDefault="00D02CB0" w:rsidP="00943D70">
            <w:pPr>
              <w:rPr>
                <w:rFonts w:cs="Calibri"/>
                <w:bCs/>
              </w:rPr>
            </w:pPr>
            <w:r w:rsidRPr="00DC3DD4">
              <w:rPr>
                <w:rFonts w:cs="Calibri"/>
                <w:bCs/>
              </w:rPr>
              <w:t>DL/.C5</w:t>
            </w:r>
          </w:p>
        </w:tc>
        <w:tc>
          <w:tcPr>
            <w:tcW w:w="709" w:type="dxa"/>
            <w:shd w:val="clear" w:color="auto" w:fill="auto"/>
            <w:noWrap/>
            <w:vAlign w:val="center"/>
            <w:hideMark/>
          </w:tcPr>
          <w:p w14:paraId="0C5BE7F4" w14:textId="783C1787" w:rsidR="00D02CB0" w:rsidRPr="00DC3DD4" w:rsidRDefault="00D02CB0" w:rsidP="00943D70">
            <w:pPr>
              <w:rPr>
                <w:rFonts w:cs="Calibri"/>
                <w:bCs/>
              </w:rPr>
            </w:pPr>
            <w:r w:rsidRPr="00DC3DD4">
              <w:rPr>
                <w:rFonts w:cs="Calibri"/>
                <w:bCs/>
              </w:rPr>
              <w:t>N</w:t>
            </w:r>
            <w:r w:rsidR="004222E3">
              <w:rPr>
                <w:rFonts w:cs="Calibri"/>
                <w:bCs/>
              </w:rPr>
              <w:t>on</w:t>
            </w:r>
          </w:p>
        </w:tc>
        <w:tc>
          <w:tcPr>
            <w:tcW w:w="709" w:type="dxa"/>
            <w:shd w:val="clear" w:color="auto" w:fill="auto"/>
            <w:noWrap/>
            <w:vAlign w:val="center"/>
            <w:hideMark/>
          </w:tcPr>
          <w:p w14:paraId="3CDE4393" w14:textId="1015D656" w:rsidR="00D02CB0" w:rsidRPr="00DC3DD4" w:rsidRDefault="00D02CB0" w:rsidP="00943D70">
            <w:pPr>
              <w:rPr>
                <w:rFonts w:cs="Calibri"/>
                <w:bCs/>
              </w:rPr>
            </w:pPr>
            <w:r w:rsidRPr="00DC3DD4">
              <w:rPr>
                <w:rFonts w:cs="Calibri"/>
                <w:bCs/>
              </w:rPr>
              <w:t>N</w:t>
            </w:r>
            <w:r w:rsidR="004222E3">
              <w:rPr>
                <w:rFonts w:cs="Calibri"/>
                <w:bCs/>
              </w:rPr>
              <w:t>on</w:t>
            </w:r>
          </w:p>
        </w:tc>
        <w:tc>
          <w:tcPr>
            <w:tcW w:w="2976" w:type="dxa"/>
            <w:shd w:val="clear" w:color="auto" w:fill="auto"/>
            <w:vAlign w:val="center"/>
            <w:hideMark/>
          </w:tcPr>
          <w:p w14:paraId="35D32044" w14:textId="77777777" w:rsidR="00D02CB0" w:rsidRPr="00DC3DD4" w:rsidRDefault="00D02CB0" w:rsidP="00BA4DA0">
            <w:pPr>
              <w:jc w:val="left"/>
              <w:rPr>
                <w:rFonts w:cs="Calibri"/>
                <w:bCs/>
              </w:rPr>
            </w:pPr>
            <w:r w:rsidRPr="00DC3DD4">
              <w:rPr>
                <w:rFonts w:cs="Calibri"/>
                <w:bCs/>
              </w:rPr>
              <w:t> </w:t>
            </w:r>
          </w:p>
        </w:tc>
      </w:tr>
      <w:tr w:rsidR="00145C61" w:rsidRPr="00DC3DD4" w14:paraId="642C72D8" w14:textId="77777777" w:rsidTr="004222E3">
        <w:trPr>
          <w:cantSplit/>
          <w:trHeight w:val="340"/>
        </w:trPr>
        <w:tc>
          <w:tcPr>
            <w:tcW w:w="704" w:type="dxa"/>
            <w:shd w:val="clear" w:color="auto" w:fill="auto"/>
            <w:noWrap/>
            <w:vAlign w:val="center"/>
          </w:tcPr>
          <w:p w14:paraId="5D6F1E8A" w14:textId="77777777" w:rsidR="00D02CB0" w:rsidRPr="00DC3DD4" w:rsidRDefault="00D02CB0" w:rsidP="00943D70">
            <w:pPr>
              <w:rPr>
                <w:rFonts w:cs="Calibri"/>
                <w:b/>
                <w:bCs/>
              </w:rPr>
            </w:pPr>
            <w:r w:rsidRPr="00DC3DD4">
              <w:rPr>
                <w:rFonts w:cs="Calibri"/>
                <w:b/>
                <w:bCs/>
              </w:rPr>
              <w:t>F22</w:t>
            </w:r>
          </w:p>
        </w:tc>
        <w:tc>
          <w:tcPr>
            <w:tcW w:w="851" w:type="dxa"/>
            <w:shd w:val="clear" w:color="auto" w:fill="auto"/>
            <w:noWrap/>
            <w:vAlign w:val="center"/>
          </w:tcPr>
          <w:p w14:paraId="0AF38401"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tcPr>
          <w:p w14:paraId="3B1BD51C"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tcPr>
          <w:p w14:paraId="35CB563C"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tcPr>
          <w:p w14:paraId="54B80513" w14:textId="77777777" w:rsidR="00D02CB0" w:rsidRPr="00DC3DD4" w:rsidRDefault="00D02CB0" w:rsidP="00943D70">
            <w:pPr>
              <w:rPr>
                <w:rFonts w:cs="Calibri"/>
                <w:bCs/>
              </w:rPr>
            </w:pPr>
            <w:r w:rsidRPr="00DC3DD4">
              <w:rPr>
                <w:rFonts w:cs="Calibri"/>
                <w:bCs/>
              </w:rPr>
              <w:t>QC</w:t>
            </w:r>
          </w:p>
        </w:tc>
        <w:tc>
          <w:tcPr>
            <w:tcW w:w="567" w:type="dxa"/>
            <w:shd w:val="clear" w:color="000000" w:fill="FFFFFF"/>
            <w:noWrap/>
            <w:vAlign w:val="center"/>
          </w:tcPr>
          <w:p w14:paraId="32A79C78" w14:textId="0A4A538B" w:rsidR="00D02CB0" w:rsidRPr="00DC3DD4" w:rsidRDefault="00D02CB0" w:rsidP="00943D70">
            <w:pPr>
              <w:rPr>
                <w:rFonts w:cs="Calibri"/>
                <w:bCs/>
              </w:rPr>
            </w:pPr>
            <w:r w:rsidRPr="00DC3DD4">
              <w:rPr>
                <w:rFonts w:cs="Calibri"/>
                <w:bCs/>
              </w:rPr>
              <w:t>O</w:t>
            </w:r>
            <w:r w:rsidR="004222E3">
              <w:rPr>
                <w:rFonts w:cs="Calibri"/>
                <w:bCs/>
              </w:rPr>
              <w:t>ui</w:t>
            </w:r>
          </w:p>
        </w:tc>
        <w:tc>
          <w:tcPr>
            <w:tcW w:w="1134" w:type="dxa"/>
            <w:shd w:val="clear" w:color="auto" w:fill="auto"/>
            <w:noWrap/>
            <w:vAlign w:val="center"/>
          </w:tcPr>
          <w:p w14:paraId="632A7704" w14:textId="77777777" w:rsidR="00D02CB0" w:rsidRPr="00DC3DD4" w:rsidRDefault="00D02CB0" w:rsidP="00943D70">
            <w:pPr>
              <w:rPr>
                <w:rFonts w:cs="Calibri"/>
                <w:bCs/>
              </w:rPr>
            </w:pPr>
            <w:r w:rsidRPr="00DC3DD4">
              <w:rPr>
                <w:rFonts w:cs="Calibri"/>
                <w:bCs/>
              </w:rPr>
              <w:t>DL/.C5</w:t>
            </w:r>
          </w:p>
        </w:tc>
        <w:tc>
          <w:tcPr>
            <w:tcW w:w="709" w:type="dxa"/>
            <w:shd w:val="clear" w:color="auto" w:fill="auto"/>
            <w:noWrap/>
            <w:vAlign w:val="center"/>
          </w:tcPr>
          <w:p w14:paraId="6F24C2F8" w14:textId="531C34BC" w:rsidR="00D02CB0" w:rsidRPr="00DC3DD4" w:rsidRDefault="00D02CB0" w:rsidP="00943D70">
            <w:pPr>
              <w:rPr>
                <w:rFonts w:cs="Calibri"/>
                <w:bCs/>
              </w:rPr>
            </w:pPr>
            <w:r w:rsidRPr="00DC3DD4">
              <w:rPr>
                <w:rFonts w:cs="Calibri"/>
                <w:bCs/>
              </w:rPr>
              <w:t>N</w:t>
            </w:r>
            <w:r w:rsidR="004222E3">
              <w:rPr>
                <w:rFonts w:cs="Calibri"/>
                <w:bCs/>
              </w:rPr>
              <w:t>on</w:t>
            </w:r>
          </w:p>
        </w:tc>
        <w:tc>
          <w:tcPr>
            <w:tcW w:w="709" w:type="dxa"/>
            <w:shd w:val="clear" w:color="auto" w:fill="auto"/>
            <w:noWrap/>
            <w:vAlign w:val="center"/>
          </w:tcPr>
          <w:p w14:paraId="7058A139" w14:textId="290BF1D4" w:rsidR="00D02CB0" w:rsidRPr="00DC3DD4" w:rsidRDefault="00D02CB0" w:rsidP="00943D70">
            <w:pPr>
              <w:rPr>
                <w:rFonts w:cs="Calibri"/>
                <w:bCs/>
              </w:rPr>
            </w:pPr>
            <w:r w:rsidRPr="00DC3DD4">
              <w:rPr>
                <w:rFonts w:cs="Calibri"/>
                <w:bCs/>
              </w:rPr>
              <w:t>N</w:t>
            </w:r>
            <w:r w:rsidR="004222E3">
              <w:rPr>
                <w:rFonts w:cs="Calibri"/>
                <w:bCs/>
              </w:rPr>
              <w:t>on</w:t>
            </w:r>
          </w:p>
        </w:tc>
        <w:tc>
          <w:tcPr>
            <w:tcW w:w="2976" w:type="dxa"/>
            <w:shd w:val="clear" w:color="auto" w:fill="auto"/>
            <w:vAlign w:val="center"/>
          </w:tcPr>
          <w:p w14:paraId="132DEEBD" w14:textId="77777777" w:rsidR="00D02CB0" w:rsidRPr="00DC3DD4" w:rsidRDefault="00D02CB0" w:rsidP="00BA4DA0">
            <w:pPr>
              <w:jc w:val="left"/>
              <w:rPr>
                <w:rFonts w:cs="Calibri"/>
                <w:bCs/>
              </w:rPr>
            </w:pPr>
            <w:r w:rsidRPr="00DC3DD4">
              <w:rPr>
                <w:rFonts w:cs="Calibri"/>
                <w:bCs/>
              </w:rPr>
              <w:t> </w:t>
            </w:r>
          </w:p>
        </w:tc>
      </w:tr>
      <w:tr w:rsidR="00145C61" w:rsidRPr="00DC3DD4" w14:paraId="5DD1071E" w14:textId="77777777" w:rsidTr="004222E3">
        <w:trPr>
          <w:cantSplit/>
          <w:trHeight w:val="455"/>
        </w:trPr>
        <w:tc>
          <w:tcPr>
            <w:tcW w:w="704" w:type="dxa"/>
            <w:shd w:val="clear" w:color="auto" w:fill="auto"/>
            <w:noWrap/>
            <w:vAlign w:val="center"/>
            <w:hideMark/>
          </w:tcPr>
          <w:p w14:paraId="183EAC6D" w14:textId="77777777" w:rsidR="00D02CB0" w:rsidRPr="00DC3DD4" w:rsidRDefault="00D02CB0" w:rsidP="00943D70">
            <w:pPr>
              <w:rPr>
                <w:rFonts w:cs="Calibri"/>
                <w:b/>
                <w:bCs/>
              </w:rPr>
            </w:pPr>
            <w:r w:rsidRPr="00DC3DD4">
              <w:rPr>
                <w:rFonts w:cs="Calibri"/>
                <w:b/>
                <w:bCs/>
              </w:rPr>
              <w:t>F9</w:t>
            </w:r>
          </w:p>
        </w:tc>
        <w:tc>
          <w:tcPr>
            <w:tcW w:w="851" w:type="dxa"/>
            <w:shd w:val="clear" w:color="auto" w:fill="auto"/>
            <w:noWrap/>
            <w:vAlign w:val="center"/>
            <w:hideMark/>
          </w:tcPr>
          <w:p w14:paraId="376990EA"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67E92723"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hideMark/>
          </w:tcPr>
          <w:p w14:paraId="768F6A83"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hideMark/>
          </w:tcPr>
          <w:p w14:paraId="76F62D01" w14:textId="77777777" w:rsidR="00D02CB0" w:rsidRPr="00DC3DD4" w:rsidRDefault="00D02CB0" w:rsidP="00943D70">
            <w:pPr>
              <w:rPr>
                <w:rFonts w:cs="Calibri"/>
                <w:bCs/>
              </w:rPr>
            </w:pPr>
            <w:r w:rsidRPr="00DC3DD4">
              <w:rPr>
                <w:rFonts w:cs="Calibri"/>
                <w:bCs/>
              </w:rPr>
              <w:t>NB</w:t>
            </w:r>
          </w:p>
        </w:tc>
        <w:tc>
          <w:tcPr>
            <w:tcW w:w="567" w:type="dxa"/>
            <w:shd w:val="clear" w:color="000000" w:fill="FFFFFF"/>
            <w:noWrap/>
            <w:vAlign w:val="center"/>
            <w:hideMark/>
          </w:tcPr>
          <w:p w14:paraId="5D2984A9" w14:textId="50B05C44" w:rsidR="00D02CB0" w:rsidRPr="00DC3DD4" w:rsidRDefault="00D02CB0" w:rsidP="00943D70">
            <w:pPr>
              <w:rPr>
                <w:rFonts w:cs="Calibri"/>
                <w:bCs/>
              </w:rPr>
            </w:pPr>
            <w:r w:rsidRPr="00DC3DD4">
              <w:rPr>
                <w:rFonts w:cs="Calibri"/>
                <w:bCs/>
              </w:rPr>
              <w:t>N</w:t>
            </w:r>
            <w:r w:rsidR="004222E3">
              <w:rPr>
                <w:rFonts w:cs="Calibri"/>
                <w:bCs/>
              </w:rPr>
              <w:t>on</w:t>
            </w:r>
          </w:p>
        </w:tc>
        <w:tc>
          <w:tcPr>
            <w:tcW w:w="1134" w:type="dxa"/>
            <w:shd w:val="clear" w:color="auto" w:fill="auto"/>
            <w:noWrap/>
            <w:vAlign w:val="center"/>
            <w:hideMark/>
          </w:tcPr>
          <w:p w14:paraId="1CD326A2" w14:textId="77777777" w:rsidR="00D02CB0" w:rsidRPr="00DC3DD4" w:rsidRDefault="00D02CB0" w:rsidP="00943D70">
            <w:pPr>
              <w:rPr>
                <w:rFonts w:cs="Calibri"/>
                <w:bCs/>
              </w:rPr>
            </w:pPr>
            <w:r w:rsidRPr="00DC3DD4">
              <w:rPr>
                <w:rFonts w:cs="Calibri"/>
                <w:bCs/>
              </w:rPr>
              <w:t>DL</w:t>
            </w:r>
          </w:p>
        </w:tc>
        <w:tc>
          <w:tcPr>
            <w:tcW w:w="709" w:type="dxa"/>
            <w:shd w:val="clear" w:color="auto" w:fill="auto"/>
            <w:noWrap/>
            <w:vAlign w:val="center"/>
            <w:hideMark/>
          </w:tcPr>
          <w:p w14:paraId="6B7DC328" w14:textId="710C9F60" w:rsidR="00D02CB0" w:rsidRPr="00DC3DD4" w:rsidRDefault="00D02CB0" w:rsidP="00943D70">
            <w:pPr>
              <w:rPr>
                <w:rFonts w:cs="Calibri"/>
                <w:bCs/>
              </w:rPr>
            </w:pPr>
            <w:r w:rsidRPr="00DC3DD4">
              <w:rPr>
                <w:rFonts w:cs="Calibri"/>
                <w:bCs/>
              </w:rPr>
              <w:t>N</w:t>
            </w:r>
            <w:r w:rsidR="004222E3">
              <w:rPr>
                <w:rFonts w:cs="Calibri"/>
                <w:bCs/>
              </w:rPr>
              <w:t>on</w:t>
            </w:r>
          </w:p>
        </w:tc>
        <w:tc>
          <w:tcPr>
            <w:tcW w:w="709" w:type="dxa"/>
            <w:shd w:val="clear" w:color="auto" w:fill="auto"/>
            <w:noWrap/>
            <w:vAlign w:val="center"/>
            <w:hideMark/>
          </w:tcPr>
          <w:p w14:paraId="52B4B91C" w14:textId="728C1498" w:rsidR="00D02CB0" w:rsidRPr="00DC3DD4" w:rsidRDefault="00D02CB0" w:rsidP="00943D70">
            <w:pPr>
              <w:rPr>
                <w:rFonts w:cs="Calibri"/>
                <w:bCs/>
              </w:rPr>
            </w:pPr>
            <w:r w:rsidRPr="00DC3DD4">
              <w:rPr>
                <w:rFonts w:cs="Calibri"/>
                <w:bCs/>
              </w:rPr>
              <w:t>N</w:t>
            </w:r>
            <w:r w:rsidR="004222E3">
              <w:rPr>
                <w:rFonts w:cs="Calibri"/>
                <w:bCs/>
              </w:rPr>
              <w:t>on</w:t>
            </w:r>
          </w:p>
        </w:tc>
        <w:tc>
          <w:tcPr>
            <w:tcW w:w="2976" w:type="dxa"/>
            <w:vMerge w:val="restart"/>
            <w:shd w:val="clear" w:color="auto" w:fill="auto"/>
            <w:vAlign w:val="center"/>
            <w:hideMark/>
          </w:tcPr>
          <w:p w14:paraId="7A2E5071" w14:textId="11F85FEE" w:rsidR="00D02CB0" w:rsidRPr="00DC3DD4" w:rsidRDefault="00D02CB0" w:rsidP="00BA4DA0">
            <w:pPr>
              <w:jc w:val="left"/>
              <w:rPr>
                <w:rFonts w:cs="Calibri"/>
                <w:bCs/>
              </w:rPr>
            </w:pPr>
            <w:r w:rsidRPr="00DC3DD4">
              <w:rPr>
                <w:rFonts w:cs="Calibri"/>
                <w:bCs/>
              </w:rPr>
              <w:t>Traitement informatique à réaliser :</w:t>
            </w:r>
            <w:r w:rsidR="004222E3">
              <w:rPr>
                <w:rFonts w:cs="Calibri"/>
                <w:bCs/>
              </w:rPr>
              <w:t xml:space="preserve"> </w:t>
            </w:r>
            <w:r w:rsidR="00BA4DA0">
              <w:rPr>
                <w:rFonts w:cs="Calibri"/>
                <w:bCs/>
              </w:rPr>
              <w:t>r</w:t>
            </w:r>
            <w:r w:rsidR="008711F3">
              <w:rPr>
                <w:rFonts w:cs="Calibri"/>
                <w:bCs/>
              </w:rPr>
              <w:t>e</w:t>
            </w:r>
            <w:r w:rsidR="004222E3">
              <w:rPr>
                <w:rFonts w:cs="Calibri"/>
                <w:bCs/>
              </w:rPr>
              <w:t>dimensionnement</w:t>
            </w:r>
            <w:r w:rsidRPr="00DC3DD4">
              <w:rPr>
                <w:rFonts w:cs="Calibri"/>
                <w:bCs/>
              </w:rPr>
              <w:t xml:space="preserve"> et agrégation des plis unitaires</w:t>
            </w:r>
          </w:p>
        </w:tc>
      </w:tr>
      <w:tr w:rsidR="00145C61" w:rsidRPr="00DC3DD4" w14:paraId="79C0150E" w14:textId="77777777" w:rsidTr="004222E3">
        <w:trPr>
          <w:cantSplit/>
          <w:trHeight w:val="455"/>
        </w:trPr>
        <w:tc>
          <w:tcPr>
            <w:tcW w:w="704" w:type="dxa"/>
            <w:shd w:val="clear" w:color="auto" w:fill="auto"/>
            <w:noWrap/>
            <w:vAlign w:val="center"/>
            <w:hideMark/>
          </w:tcPr>
          <w:p w14:paraId="370B04B5" w14:textId="77777777" w:rsidR="00D02CB0" w:rsidRPr="00DC3DD4" w:rsidRDefault="00D02CB0" w:rsidP="00943D70">
            <w:pPr>
              <w:rPr>
                <w:rFonts w:cs="Calibri"/>
                <w:b/>
                <w:bCs/>
              </w:rPr>
            </w:pPr>
            <w:r w:rsidRPr="00DC3DD4">
              <w:rPr>
                <w:rFonts w:cs="Calibri"/>
                <w:b/>
                <w:bCs/>
              </w:rPr>
              <w:t>F10</w:t>
            </w:r>
          </w:p>
        </w:tc>
        <w:tc>
          <w:tcPr>
            <w:tcW w:w="851" w:type="dxa"/>
            <w:shd w:val="clear" w:color="auto" w:fill="auto"/>
            <w:noWrap/>
            <w:vAlign w:val="center"/>
            <w:hideMark/>
          </w:tcPr>
          <w:p w14:paraId="3CC0626E"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hideMark/>
          </w:tcPr>
          <w:p w14:paraId="3B8CE529"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hideMark/>
          </w:tcPr>
          <w:p w14:paraId="27402F83"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hideMark/>
          </w:tcPr>
          <w:p w14:paraId="646B715B" w14:textId="77777777" w:rsidR="00D02CB0" w:rsidRPr="00DC3DD4" w:rsidRDefault="00D02CB0" w:rsidP="00943D70">
            <w:pPr>
              <w:rPr>
                <w:rFonts w:cs="Calibri"/>
                <w:bCs/>
              </w:rPr>
            </w:pPr>
            <w:r w:rsidRPr="00DC3DD4">
              <w:rPr>
                <w:rFonts w:cs="Calibri"/>
                <w:bCs/>
              </w:rPr>
              <w:t>QC</w:t>
            </w:r>
          </w:p>
        </w:tc>
        <w:tc>
          <w:tcPr>
            <w:tcW w:w="567" w:type="dxa"/>
            <w:shd w:val="clear" w:color="000000" w:fill="FFFFFF"/>
            <w:noWrap/>
            <w:vAlign w:val="center"/>
            <w:hideMark/>
          </w:tcPr>
          <w:p w14:paraId="08E895D1" w14:textId="12D327FA" w:rsidR="00D02CB0" w:rsidRPr="00DC3DD4" w:rsidRDefault="00D02CB0" w:rsidP="00943D70">
            <w:pPr>
              <w:rPr>
                <w:rFonts w:cs="Calibri"/>
                <w:bCs/>
              </w:rPr>
            </w:pPr>
            <w:r w:rsidRPr="00DC3DD4">
              <w:rPr>
                <w:rFonts w:cs="Calibri"/>
                <w:bCs/>
              </w:rPr>
              <w:t>O</w:t>
            </w:r>
            <w:r w:rsidR="004222E3">
              <w:rPr>
                <w:rFonts w:cs="Calibri"/>
                <w:bCs/>
              </w:rPr>
              <w:t>ui</w:t>
            </w:r>
          </w:p>
        </w:tc>
        <w:tc>
          <w:tcPr>
            <w:tcW w:w="1134" w:type="dxa"/>
            <w:shd w:val="clear" w:color="auto" w:fill="auto"/>
            <w:noWrap/>
            <w:vAlign w:val="center"/>
            <w:hideMark/>
          </w:tcPr>
          <w:p w14:paraId="5DC819AA" w14:textId="77777777" w:rsidR="00D02CB0" w:rsidRPr="00DC3DD4" w:rsidRDefault="00D02CB0" w:rsidP="00943D70">
            <w:pPr>
              <w:rPr>
                <w:rFonts w:cs="Calibri"/>
                <w:bCs/>
              </w:rPr>
            </w:pPr>
            <w:r w:rsidRPr="00DC3DD4">
              <w:rPr>
                <w:rFonts w:cs="Calibri"/>
                <w:bCs/>
              </w:rPr>
              <w:t>C5/DL</w:t>
            </w:r>
          </w:p>
        </w:tc>
        <w:tc>
          <w:tcPr>
            <w:tcW w:w="709" w:type="dxa"/>
            <w:shd w:val="clear" w:color="auto" w:fill="auto"/>
            <w:noWrap/>
            <w:vAlign w:val="center"/>
            <w:hideMark/>
          </w:tcPr>
          <w:p w14:paraId="608D6513" w14:textId="35661409" w:rsidR="00D02CB0" w:rsidRPr="00DC3DD4" w:rsidRDefault="00D02CB0" w:rsidP="00943D70">
            <w:pPr>
              <w:rPr>
                <w:rFonts w:cs="Calibri"/>
                <w:bCs/>
              </w:rPr>
            </w:pPr>
            <w:r w:rsidRPr="00DC3DD4">
              <w:rPr>
                <w:rFonts w:cs="Calibri"/>
                <w:bCs/>
              </w:rPr>
              <w:t>N</w:t>
            </w:r>
            <w:r w:rsidR="004222E3">
              <w:rPr>
                <w:rFonts w:cs="Calibri"/>
                <w:bCs/>
              </w:rPr>
              <w:t>on</w:t>
            </w:r>
          </w:p>
        </w:tc>
        <w:tc>
          <w:tcPr>
            <w:tcW w:w="709" w:type="dxa"/>
            <w:shd w:val="clear" w:color="auto" w:fill="auto"/>
            <w:noWrap/>
            <w:vAlign w:val="center"/>
            <w:hideMark/>
          </w:tcPr>
          <w:p w14:paraId="2B6B6D55" w14:textId="090AB22A" w:rsidR="00D02CB0" w:rsidRPr="00DC3DD4" w:rsidRDefault="00D02CB0" w:rsidP="00943D70">
            <w:pPr>
              <w:rPr>
                <w:rFonts w:cs="Calibri"/>
                <w:bCs/>
              </w:rPr>
            </w:pPr>
            <w:r w:rsidRPr="00DC3DD4">
              <w:rPr>
                <w:rFonts w:cs="Calibri"/>
                <w:bCs/>
              </w:rPr>
              <w:t>N</w:t>
            </w:r>
            <w:r w:rsidR="004222E3">
              <w:rPr>
                <w:rFonts w:cs="Calibri"/>
                <w:bCs/>
              </w:rPr>
              <w:t>on</w:t>
            </w:r>
          </w:p>
        </w:tc>
        <w:tc>
          <w:tcPr>
            <w:tcW w:w="2976" w:type="dxa"/>
            <w:vMerge/>
            <w:shd w:val="clear" w:color="auto" w:fill="auto"/>
            <w:vAlign w:val="center"/>
            <w:hideMark/>
          </w:tcPr>
          <w:p w14:paraId="534E3124" w14:textId="77777777" w:rsidR="00D02CB0" w:rsidRPr="00DC3DD4" w:rsidRDefault="00D02CB0" w:rsidP="00BA4DA0">
            <w:pPr>
              <w:jc w:val="left"/>
              <w:rPr>
                <w:rFonts w:cs="Calibri"/>
                <w:bCs/>
              </w:rPr>
            </w:pPr>
          </w:p>
        </w:tc>
      </w:tr>
      <w:tr w:rsidR="00145C61" w:rsidRPr="00DC3DD4" w14:paraId="73A3F7E9" w14:textId="77777777" w:rsidTr="004222E3">
        <w:trPr>
          <w:cantSplit/>
          <w:trHeight w:val="455"/>
        </w:trPr>
        <w:tc>
          <w:tcPr>
            <w:tcW w:w="704" w:type="dxa"/>
            <w:shd w:val="clear" w:color="auto" w:fill="auto"/>
            <w:noWrap/>
            <w:vAlign w:val="center"/>
          </w:tcPr>
          <w:p w14:paraId="58F4B844" w14:textId="77777777" w:rsidR="00D02CB0" w:rsidRPr="00DC3DD4" w:rsidRDefault="00D02CB0" w:rsidP="00943D70">
            <w:pPr>
              <w:rPr>
                <w:rFonts w:cs="Calibri"/>
                <w:b/>
                <w:bCs/>
              </w:rPr>
            </w:pPr>
            <w:r w:rsidRPr="00DC3DD4">
              <w:rPr>
                <w:rFonts w:cs="Calibri"/>
                <w:b/>
                <w:bCs/>
              </w:rPr>
              <w:t>F40</w:t>
            </w:r>
          </w:p>
        </w:tc>
        <w:tc>
          <w:tcPr>
            <w:tcW w:w="851" w:type="dxa"/>
            <w:shd w:val="clear" w:color="auto" w:fill="auto"/>
            <w:noWrap/>
            <w:vAlign w:val="center"/>
          </w:tcPr>
          <w:p w14:paraId="3F4DDE0C"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tcPr>
          <w:p w14:paraId="294C47EE"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tcPr>
          <w:p w14:paraId="6E703991"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tcPr>
          <w:p w14:paraId="625D7426" w14:textId="77777777" w:rsidR="00D02CB0" w:rsidRPr="00DC3DD4" w:rsidRDefault="00D02CB0" w:rsidP="00943D70">
            <w:pPr>
              <w:rPr>
                <w:rFonts w:cs="Calibri"/>
                <w:bCs/>
              </w:rPr>
            </w:pPr>
            <w:r w:rsidRPr="00DC3DD4">
              <w:rPr>
                <w:rFonts w:cs="Calibri"/>
                <w:bCs/>
              </w:rPr>
              <w:t>NB</w:t>
            </w:r>
          </w:p>
        </w:tc>
        <w:tc>
          <w:tcPr>
            <w:tcW w:w="567" w:type="dxa"/>
            <w:shd w:val="clear" w:color="000000" w:fill="FFFFFF"/>
            <w:noWrap/>
            <w:vAlign w:val="center"/>
          </w:tcPr>
          <w:p w14:paraId="363DB50A" w14:textId="36697085" w:rsidR="00D02CB0" w:rsidRPr="00DC3DD4" w:rsidRDefault="00D02CB0" w:rsidP="00943D70">
            <w:pPr>
              <w:rPr>
                <w:rFonts w:cs="Calibri"/>
                <w:bCs/>
              </w:rPr>
            </w:pPr>
            <w:r w:rsidRPr="00DC3DD4">
              <w:rPr>
                <w:rFonts w:cs="Calibri"/>
                <w:bCs/>
              </w:rPr>
              <w:t>O</w:t>
            </w:r>
            <w:r w:rsidR="004222E3">
              <w:rPr>
                <w:rFonts w:cs="Calibri"/>
                <w:bCs/>
              </w:rPr>
              <w:t>ui</w:t>
            </w:r>
          </w:p>
        </w:tc>
        <w:tc>
          <w:tcPr>
            <w:tcW w:w="1134" w:type="dxa"/>
            <w:shd w:val="clear" w:color="auto" w:fill="auto"/>
            <w:noWrap/>
            <w:vAlign w:val="center"/>
          </w:tcPr>
          <w:p w14:paraId="7857154C" w14:textId="77777777" w:rsidR="00D02CB0" w:rsidRPr="00DC3DD4" w:rsidRDefault="00D02CB0" w:rsidP="00943D70">
            <w:pPr>
              <w:rPr>
                <w:rFonts w:cs="Calibri"/>
                <w:bCs/>
              </w:rPr>
            </w:pPr>
            <w:r w:rsidRPr="00DC3DD4">
              <w:rPr>
                <w:rFonts w:cs="Calibri"/>
                <w:bCs/>
              </w:rPr>
              <w:t>DL</w:t>
            </w:r>
          </w:p>
        </w:tc>
        <w:tc>
          <w:tcPr>
            <w:tcW w:w="709" w:type="dxa"/>
            <w:shd w:val="clear" w:color="auto" w:fill="auto"/>
            <w:noWrap/>
            <w:vAlign w:val="center"/>
          </w:tcPr>
          <w:p w14:paraId="3FD90E8D" w14:textId="41EE90BF" w:rsidR="00D02CB0" w:rsidRPr="00DC3DD4" w:rsidRDefault="00D02CB0" w:rsidP="00943D70">
            <w:pPr>
              <w:rPr>
                <w:rFonts w:cs="Calibri"/>
                <w:bCs/>
              </w:rPr>
            </w:pPr>
            <w:r w:rsidRPr="00DC3DD4">
              <w:rPr>
                <w:rFonts w:cs="Calibri"/>
                <w:bCs/>
              </w:rPr>
              <w:t>N</w:t>
            </w:r>
            <w:r w:rsidR="004222E3">
              <w:rPr>
                <w:rFonts w:cs="Calibri"/>
                <w:bCs/>
              </w:rPr>
              <w:t>on</w:t>
            </w:r>
          </w:p>
        </w:tc>
        <w:tc>
          <w:tcPr>
            <w:tcW w:w="709" w:type="dxa"/>
            <w:shd w:val="clear" w:color="auto" w:fill="auto"/>
            <w:noWrap/>
            <w:vAlign w:val="center"/>
          </w:tcPr>
          <w:p w14:paraId="05102080" w14:textId="0EB5C6EC" w:rsidR="00D02CB0" w:rsidRPr="00DC3DD4" w:rsidRDefault="00D02CB0" w:rsidP="00943D70">
            <w:pPr>
              <w:rPr>
                <w:rFonts w:cs="Calibri"/>
                <w:bCs/>
              </w:rPr>
            </w:pPr>
            <w:r w:rsidRPr="00DC3DD4">
              <w:rPr>
                <w:rFonts w:cs="Calibri"/>
                <w:bCs/>
              </w:rPr>
              <w:t>N</w:t>
            </w:r>
            <w:r w:rsidR="004222E3">
              <w:rPr>
                <w:rFonts w:cs="Calibri"/>
                <w:bCs/>
              </w:rPr>
              <w:t>on</w:t>
            </w:r>
          </w:p>
        </w:tc>
        <w:tc>
          <w:tcPr>
            <w:tcW w:w="2976" w:type="dxa"/>
            <w:shd w:val="clear" w:color="auto" w:fill="auto"/>
            <w:vAlign w:val="center"/>
          </w:tcPr>
          <w:p w14:paraId="56BB89D8" w14:textId="77777777" w:rsidR="00D02CB0" w:rsidRPr="00DC3DD4" w:rsidRDefault="00D02CB0" w:rsidP="00BA4DA0">
            <w:pPr>
              <w:jc w:val="left"/>
              <w:rPr>
                <w:rFonts w:cs="Calibri"/>
                <w:bCs/>
              </w:rPr>
            </w:pPr>
          </w:p>
        </w:tc>
      </w:tr>
      <w:tr w:rsidR="00145C61" w:rsidRPr="00DC3DD4" w14:paraId="7ED7FCAC" w14:textId="77777777" w:rsidTr="004222E3">
        <w:trPr>
          <w:cantSplit/>
          <w:trHeight w:val="455"/>
        </w:trPr>
        <w:tc>
          <w:tcPr>
            <w:tcW w:w="704" w:type="dxa"/>
            <w:shd w:val="clear" w:color="auto" w:fill="auto"/>
            <w:noWrap/>
            <w:vAlign w:val="center"/>
          </w:tcPr>
          <w:p w14:paraId="746A9AAE" w14:textId="77777777" w:rsidR="00D02CB0" w:rsidRPr="00DC3DD4" w:rsidRDefault="00D02CB0" w:rsidP="00943D70">
            <w:pPr>
              <w:rPr>
                <w:rFonts w:cs="Calibri"/>
                <w:b/>
                <w:bCs/>
              </w:rPr>
            </w:pPr>
            <w:r w:rsidRPr="00DC3DD4">
              <w:rPr>
                <w:rFonts w:cs="Calibri"/>
                <w:b/>
                <w:bCs/>
              </w:rPr>
              <w:t>F50</w:t>
            </w:r>
          </w:p>
        </w:tc>
        <w:tc>
          <w:tcPr>
            <w:tcW w:w="851" w:type="dxa"/>
            <w:shd w:val="clear" w:color="auto" w:fill="auto"/>
            <w:noWrap/>
            <w:vAlign w:val="center"/>
          </w:tcPr>
          <w:p w14:paraId="38BCFAED"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tcPr>
          <w:p w14:paraId="44F3175C"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tcPr>
          <w:p w14:paraId="3CD40647" w14:textId="77777777" w:rsidR="00D02CB0" w:rsidRPr="00DC3DD4" w:rsidRDefault="00D02CB0" w:rsidP="00943D70">
            <w:pPr>
              <w:rPr>
                <w:rFonts w:cs="Calibri"/>
                <w:bCs/>
              </w:rPr>
            </w:pPr>
            <w:r w:rsidRPr="00DC3DD4">
              <w:rPr>
                <w:rFonts w:cs="Calibri"/>
                <w:bCs/>
              </w:rPr>
              <w:t>RS</w:t>
            </w:r>
          </w:p>
        </w:tc>
        <w:tc>
          <w:tcPr>
            <w:tcW w:w="567" w:type="dxa"/>
            <w:shd w:val="clear" w:color="auto" w:fill="auto"/>
            <w:noWrap/>
            <w:vAlign w:val="center"/>
          </w:tcPr>
          <w:p w14:paraId="2D01B42D" w14:textId="77777777" w:rsidR="00D02CB0" w:rsidRPr="00DC3DD4" w:rsidRDefault="00D02CB0" w:rsidP="00943D70">
            <w:pPr>
              <w:rPr>
                <w:rFonts w:cs="Calibri"/>
                <w:bCs/>
              </w:rPr>
            </w:pPr>
            <w:r w:rsidRPr="00DC3DD4">
              <w:rPr>
                <w:rFonts w:cs="Calibri"/>
                <w:bCs/>
              </w:rPr>
              <w:t>QC</w:t>
            </w:r>
          </w:p>
        </w:tc>
        <w:tc>
          <w:tcPr>
            <w:tcW w:w="567" w:type="dxa"/>
            <w:shd w:val="clear" w:color="000000" w:fill="FFFFFF"/>
            <w:noWrap/>
            <w:vAlign w:val="center"/>
          </w:tcPr>
          <w:p w14:paraId="3569E8C8" w14:textId="71F6C14A" w:rsidR="00D02CB0" w:rsidRPr="00DC3DD4" w:rsidRDefault="00D02CB0" w:rsidP="00943D70">
            <w:pPr>
              <w:rPr>
                <w:rFonts w:cs="Calibri"/>
                <w:bCs/>
              </w:rPr>
            </w:pPr>
            <w:r w:rsidRPr="00DC3DD4">
              <w:rPr>
                <w:rFonts w:cs="Calibri"/>
                <w:bCs/>
              </w:rPr>
              <w:t>O</w:t>
            </w:r>
            <w:r w:rsidR="004222E3">
              <w:rPr>
                <w:rFonts w:cs="Calibri"/>
                <w:bCs/>
              </w:rPr>
              <w:t>ui</w:t>
            </w:r>
          </w:p>
        </w:tc>
        <w:tc>
          <w:tcPr>
            <w:tcW w:w="1134" w:type="dxa"/>
            <w:shd w:val="clear" w:color="auto" w:fill="auto"/>
            <w:noWrap/>
            <w:vAlign w:val="center"/>
          </w:tcPr>
          <w:p w14:paraId="3B14109B" w14:textId="77777777" w:rsidR="00D02CB0" w:rsidRPr="00DC3DD4" w:rsidRDefault="00D02CB0" w:rsidP="00943D70">
            <w:pPr>
              <w:rPr>
                <w:rFonts w:cs="Calibri"/>
                <w:bCs/>
              </w:rPr>
            </w:pPr>
            <w:r w:rsidRPr="00DC3DD4">
              <w:rPr>
                <w:rFonts w:cs="Calibri"/>
                <w:bCs/>
              </w:rPr>
              <w:t>DL</w:t>
            </w:r>
          </w:p>
        </w:tc>
        <w:tc>
          <w:tcPr>
            <w:tcW w:w="709" w:type="dxa"/>
            <w:shd w:val="clear" w:color="auto" w:fill="auto"/>
            <w:noWrap/>
            <w:vAlign w:val="center"/>
          </w:tcPr>
          <w:p w14:paraId="0BCDDCE2" w14:textId="7756953F" w:rsidR="00D02CB0" w:rsidRPr="00DC3DD4" w:rsidRDefault="00D02CB0" w:rsidP="00943D70">
            <w:pPr>
              <w:rPr>
                <w:rFonts w:cs="Calibri"/>
                <w:bCs/>
              </w:rPr>
            </w:pPr>
            <w:r w:rsidRPr="00DC3DD4">
              <w:rPr>
                <w:rFonts w:cs="Calibri"/>
                <w:bCs/>
              </w:rPr>
              <w:t>N</w:t>
            </w:r>
            <w:r w:rsidR="004222E3">
              <w:rPr>
                <w:rFonts w:cs="Calibri"/>
                <w:bCs/>
              </w:rPr>
              <w:t>on</w:t>
            </w:r>
          </w:p>
        </w:tc>
        <w:tc>
          <w:tcPr>
            <w:tcW w:w="709" w:type="dxa"/>
            <w:shd w:val="clear" w:color="auto" w:fill="auto"/>
            <w:noWrap/>
            <w:vAlign w:val="center"/>
          </w:tcPr>
          <w:p w14:paraId="739F8405" w14:textId="1B9522A6" w:rsidR="00D02CB0" w:rsidRPr="00DC3DD4" w:rsidRDefault="00D02CB0" w:rsidP="00943D70">
            <w:pPr>
              <w:rPr>
                <w:rFonts w:cs="Calibri"/>
                <w:bCs/>
              </w:rPr>
            </w:pPr>
            <w:r w:rsidRPr="00DC3DD4">
              <w:rPr>
                <w:rFonts w:cs="Calibri"/>
                <w:bCs/>
              </w:rPr>
              <w:t>N</w:t>
            </w:r>
            <w:r w:rsidR="004222E3">
              <w:rPr>
                <w:rFonts w:cs="Calibri"/>
                <w:bCs/>
              </w:rPr>
              <w:t>on</w:t>
            </w:r>
          </w:p>
        </w:tc>
        <w:tc>
          <w:tcPr>
            <w:tcW w:w="2976" w:type="dxa"/>
            <w:shd w:val="clear" w:color="auto" w:fill="auto"/>
            <w:vAlign w:val="center"/>
          </w:tcPr>
          <w:p w14:paraId="49989D51" w14:textId="77777777" w:rsidR="00D02CB0" w:rsidRPr="00DC3DD4" w:rsidRDefault="00D02CB0" w:rsidP="00BA4DA0">
            <w:pPr>
              <w:jc w:val="left"/>
              <w:rPr>
                <w:rFonts w:cs="Calibri"/>
                <w:bCs/>
              </w:rPr>
            </w:pPr>
          </w:p>
        </w:tc>
      </w:tr>
      <w:tr w:rsidR="00145C61" w:rsidRPr="00DC3DD4" w14:paraId="1743E16A" w14:textId="77777777" w:rsidTr="004222E3">
        <w:trPr>
          <w:cantSplit/>
          <w:trHeight w:val="455"/>
        </w:trPr>
        <w:tc>
          <w:tcPr>
            <w:tcW w:w="704" w:type="dxa"/>
            <w:shd w:val="clear" w:color="auto" w:fill="auto"/>
            <w:noWrap/>
            <w:vAlign w:val="center"/>
          </w:tcPr>
          <w:p w14:paraId="3F0540EE" w14:textId="77777777" w:rsidR="00D02CB0" w:rsidRPr="00DC3DD4" w:rsidRDefault="00D02CB0" w:rsidP="00943D70">
            <w:pPr>
              <w:rPr>
                <w:rFonts w:cs="Calibri"/>
                <w:b/>
                <w:bCs/>
              </w:rPr>
            </w:pPr>
            <w:r w:rsidRPr="00DC3DD4">
              <w:rPr>
                <w:rFonts w:cs="Calibri"/>
                <w:b/>
                <w:bCs/>
              </w:rPr>
              <w:t>F51</w:t>
            </w:r>
          </w:p>
        </w:tc>
        <w:tc>
          <w:tcPr>
            <w:tcW w:w="851" w:type="dxa"/>
            <w:shd w:val="clear" w:color="auto" w:fill="auto"/>
            <w:noWrap/>
            <w:vAlign w:val="center"/>
          </w:tcPr>
          <w:p w14:paraId="4798BA69" w14:textId="77777777" w:rsidR="00D02CB0" w:rsidRPr="00DC3DD4" w:rsidRDefault="00D02CB0" w:rsidP="00943D70">
            <w:pPr>
              <w:rPr>
                <w:rFonts w:cs="Calibri"/>
                <w:bCs/>
              </w:rPr>
            </w:pPr>
            <w:r w:rsidRPr="00DC3DD4">
              <w:rPr>
                <w:rFonts w:cs="Calibri"/>
                <w:bCs/>
              </w:rPr>
              <w:t>A4</w:t>
            </w:r>
          </w:p>
        </w:tc>
        <w:tc>
          <w:tcPr>
            <w:tcW w:w="708" w:type="dxa"/>
            <w:shd w:val="clear" w:color="auto" w:fill="auto"/>
            <w:noWrap/>
            <w:vAlign w:val="center"/>
          </w:tcPr>
          <w:p w14:paraId="493420B7" w14:textId="77777777" w:rsidR="00D02CB0" w:rsidRPr="00DC3DD4" w:rsidRDefault="00D02CB0" w:rsidP="00943D70">
            <w:pPr>
              <w:rPr>
                <w:rFonts w:cs="Calibri"/>
                <w:bCs/>
              </w:rPr>
            </w:pPr>
            <w:r w:rsidRPr="00DC3DD4">
              <w:rPr>
                <w:rFonts w:cs="Calibri"/>
                <w:bCs/>
              </w:rPr>
              <w:t>80</w:t>
            </w:r>
          </w:p>
        </w:tc>
        <w:tc>
          <w:tcPr>
            <w:tcW w:w="709" w:type="dxa"/>
            <w:shd w:val="clear" w:color="auto" w:fill="auto"/>
            <w:noWrap/>
            <w:vAlign w:val="center"/>
          </w:tcPr>
          <w:p w14:paraId="6FD7ECC3" w14:textId="77777777" w:rsidR="00D02CB0" w:rsidRPr="00DC3DD4" w:rsidRDefault="00D02CB0" w:rsidP="00943D70">
            <w:pPr>
              <w:rPr>
                <w:rFonts w:cs="Calibri"/>
                <w:bCs/>
              </w:rPr>
            </w:pPr>
            <w:r w:rsidRPr="00DC3DD4">
              <w:rPr>
                <w:rFonts w:cs="Calibri"/>
                <w:bCs/>
              </w:rPr>
              <w:t>RV</w:t>
            </w:r>
          </w:p>
        </w:tc>
        <w:tc>
          <w:tcPr>
            <w:tcW w:w="567" w:type="dxa"/>
            <w:shd w:val="clear" w:color="auto" w:fill="auto"/>
            <w:noWrap/>
            <w:vAlign w:val="center"/>
          </w:tcPr>
          <w:p w14:paraId="49A2DE57" w14:textId="77777777" w:rsidR="00D02CB0" w:rsidRPr="00DC3DD4" w:rsidRDefault="00D02CB0" w:rsidP="00943D70">
            <w:pPr>
              <w:rPr>
                <w:rFonts w:cs="Calibri"/>
                <w:bCs/>
              </w:rPr>
            </w:pPr>
            <w:r w:rsidRPr="00DC3DD4">
              <w:rPr>
                <w:rFonts w:cs="Calibri"/>
                <w:bCs/>
              </w:rPr>
              <w:t>QC</w:t>
            </w:r>
          </w:p>
        </w:tc>
        <w:tc>
          <w:tcPr>
            <w:tcW w:w="567" w:type="dxa"/>
            <w:shd w:val="clear" w:color="000000" w:fill="FFFFFF"/>
            <w:noWrap/>
            <w:vAlign w:val="center"/>
          </w:tcPr>
          <w:p w14:paraId="08387FDB" w14:textId="2B780D1F" w:rsidR="00D02CB0" w:rsidRPr="00DC3DD4" w:rsidRDefault="00D02CB0" w:rsidP="00943D70">
            <w:pPr>
              <w:rPr>
                <w:rFonts w:cs="Calibri"/>
                <w:bCs/>
              </w:rPr>
            </w:pPr>
            <w:r w:rsidRPr="00DC3DD4">
              <w:rPr>
                <w:rFonts w:cs="Calibri"/>
                <w:bCs/>
              </w:rPr>
              <w:t>O</w:t>
            </w:r>
            <w:r w:rsidR="004222E3">
              <w:rPr>
                <w:rFonts w:cs="Calibri"/>
                <w:bCs/>
              </w:rPr>
              <w:t>ui</w:t>
            </w:r>
          </w:p>
        </w:tc>
        <w:tc>
          <w:tcPr>
            <w:tcW w:w="1134" w:type="dxa"/>
            <w:shd w:val="clear" w:color="auto" w:fill="auto"/>
            <w:noWrap/>
            <w:vAlign w:val="center"/>
          </w:tcPr>
          <w:p w14:paraId="7A8DBCA3" w14:textId="77777777" w:rsidR="00D02CB0" w:rsidRPr="00DC3DD4" w:rsidRDefault="00D02CB0" w:rsidP="00943D70">
            <w:pPr>
              <w:rPr>
                <w:rFonts w:cs="Calibri"/>
                <w:bCs/>
              </w:rPr>
            </w:pPr>
            <w:r w:rsidRPr="00DC3DD4">
              <w:rPr>
                <w:rFonts w:cs="Calibri"/>
                <w:bCs/>
              </w:rPr>
              <w:t>DL</w:t>
            </w:r>
          </w:p>
        </w:tc>
        <w:tc>
          <w:tcPr>
            <w:tcW w:w="709" w:type="dxa"/>
            <w:shd w:val="clear" w:color="auto" w:fill="auto"/>
            <w:noWrap/>
            <w:vAlign w:val="center"/>
          </w:tcPr>
          <w:p w14:paraId="2A8AAF61" w14:textId="0ED726AD" w:rsidR="00D02CB0" w:rsidRPr="00DC3DD4" w:rsidRDefault="00D02CB0" w:rsidP="00943D70">
            <w:pPr>
              <w:rPr>
                <w:rFonts w:cs="Calibri"/>
                <w:bCs/>
              </w:rPr>
            </w:pPr>
            <w:r w:rsidRPr="00DC3DD4">
              <w:rPr>
                <w:rFonts w:cs="Calibri"/>
                <w:bCs/>
              </w:rPr>
              <w:t>N</w:t>
            </w:r>
            <w:r w:rsidR="004222E3">
              <w:rPr>
                <w:rFonts w:cs="Calibri"/>
                <w:bCs/>
              </w:rPr>
              <w:t>on</w:t>
            </w:r>
          </w:p>
        </w:tc>
        <w:tc>
          <w:tcPr>
            <w:tcW w:w="709" w:type="dxa"/>
            <w:shd w:val="clear" w:color="auto" w:fill="auto"/>
            <w:noWrap/>
            <w:vAlign w:val="center"/>
          </w:tcPr>
          <w:p w14:paraId="2576E0F3" w14:textId="2E1F48F2" w:rsidR="00D02CB0" w:rsidRPr="00DC3DD4" w:rsidRDefault="00D02CB0" w:rsidP="00943D70">
            <w:pPr>
              <w:rPr>
                <w:rFonts w:cs="Calibri"/>
                <w:bCs/>
              </w:rPr>
            </w:pPr>
            <w:r w:rsidRPr="00DC3DD4">
              <w:rPr>
                <w:rFonts w:cs="Calibri"/>
                <w:bCs/>
              </w:rPr>
              <w:t>N</w:t>
            </w:r>
            <w:r w:rsidR="004222E3">
              <w:rPr>
                <w:rFonts w:cs="Calibri"/>
                <w:bCs/>
              </w:rPr>
              <w:t>on</w:t>
            </w:r>
          </w:p>
        </w:tc>
        <w:tc>
          <w:tcPr>
            <w:tcW w:w="2976" w:type="dxa"/>
            <w:shd w:val="clear" w:color="auto" w:fill="auto"/>
            <w:vAlign w:val="center"/>
          </w:tcPr>
          <w:p w14:paraId="5CA09368" w14:textId="77777777" w:rsidR="00D02CB0" w:rsidRPr="00DC3DD4" w:rsidRDefault="00D02CB0" w:rsidP="00BA4DA0">
            <w:pPr>
              <w:jc w:val="left"/>
              <w:rPr>
                <w:rFonts w:cs="Calibri"/>
                <w:bCs/>
              </w:rPr>
            </w:pPr>
          </w:p>
        </w:tc>
      </w:tr>
    </w:tbl>
    <w:p w14:paraId="72C802F7" w14:textId="175EBE6E" w:rsidR="00D02CB0" w:rsidRPr="00B41C5D" w:rsidRDefault="00145C61" w:rsidP="00D02CB0">
      <w:pPr>
        <w:pStyle w:val="ttedeliste"/>
        <w:rPr>
          <w:rFonts w:ascii="Open Sans" w:hAnsi="Open Sans" w:cs="Open Sans"/>
        </w:rPr>
      </w:pPr>
      <w:r w:rsidRPr="00B41C5D">
        <w:rPr>
          <w:rFonts w:ascii="Open Sans" w:hAnsi="Open Sans" w:cs="Open Sans"/>
        </w:rPr>
        <w:t>Légende :</w:t>
      </w:r>
    </w:p>
    <w:p w14:paraId="7E26C1E7" w14:textId="77777777" w:rsidR="00D02CB0" w:rsidRPr="00B41C5D" w:rsidRDefault="00D02CB0" w:rsidP="00145C61">
      <w:pPr>
        <w:pStyle w:val="Listepuces"/>
        <w:rPr>
          <w:rFonts w:cs="Open Sans"/>
        </w:rPr>
      </w:pPr>
      <w:r w:rsidRPr="00B41C5D">
        <w:rPr>
          <w:rFonts w:cs="Open Sans"/>
        </w:rPr>
        <w:t>« ASAP » : avis de somme à payer</w:t>
      </w:r>
    </w:p>
    <w:p w14:paraId="2FE9A4A5" w14:textId="77777777" w:rsidR="00D02CB0" w:rsidRPr="00B41C5D" w:rsidRDefault="00D02CB0" w:rsidP="00145C61">
      <w:pPr>
        <w:pStyle w:val="Listepuces"/>
        <w:rPr>
          <w:rFonts w:cs="Open Sans"/>
        </w:rPr>
      </w:pPr>
      <w:r w:rsidRPr="00B41C5D">
        <w:rPr>
          <w:rFonts w:cs="Open Sans"/>
        </w:rPr>
        <w:t>Papier : 80 (80 g/m</w:t>
      </w:r>
      <w:r w:rsidRPr="00B41C5D">
        <w:rPr>
          <w:rFonts w:cs="Open Sans"/>
          <w:vertAlign w:val="superscript"/>
        </w:rPr>
        <w:t>2</w:t>
      </w:r>
      <w:r w:rsidRPr="00B41C5D">
        <w:rPr>
          <w:rFonts w:cs="Open Sans"/>
        </w:rPr>
        <w:t>) ou 90 (90 g/m</w:t>
      </w:r>
      <w:r w:rsidRPr="00B41C5D">
        <w:rPr>
          <w:rFonts w:cs="Open Sans"/>
          <w:vertAlign w:val="superscript"/>
        </w:rPr>
        <w:t>2</w:t>
      </w:r>
      <w:r w:rsidRPr="00B41C5D">
        <w:rPr>
          <w:rFonts w:cs="Open Sans"/>
        </w:rPr>
        <w:t>)</w:t>
      </w:r>
    </w:p>
    <w:p w14:paraId="315E0CCF" w14:textId="77777777" w:rsidR="00D02CB0" w:rsidRPr="00B41C5D" w:rsidRDefault="00D02CB0" w:rsidP="00145C61">
      <w:pPr>
        <w:pStyle w:val="Listepuces"/>
        <w:rPr>
          <w:rFonts w:cs="Open Sans"/>
        </w:rPr>
      </w:pPr>
      <w:r w:rsidRPr="00B41C5D">
        <w:rPr>
          <w:rFonts w:cs="Open Sans"/>
        </w:rPr>
        <w:t>Mode (d’impression) : « RS » Recto Simple, « RV » Recto-Verso</w:t>
      </w:r>
    </w:p>
    <w:p w14:paraId="001E23E4" w14:textId="77777777" w:rsidR="00D02CB0" w:rsidRPr="00B41C5D" w:rsidRDefault="00D02CB0" w:rsidP="00145C61">
      <w:pPr>
        <w:pStyle w:val="Listepuces"/>
        <w:rPr>
          <w:rFonts w:cs="Open Sans"/>
        </w:rPr>
      </w:pPr>
      <w:r w:rsidRPr="00B41C5D">
        <w:rPr>
          <w:rFonts w:cs="Open Sans"/>
        </w:rPr>
        <w:t>Type (d’impression) : « NB » Noir et Blanc, « QC » Quadrichromie</w:t>
      </w:r>
    </w:p>
    <w:p w14:paraId="1F538845" w14:textId="70F42CF9" w:rsidR="00D02CB0" w:rsidRPr="00B41C5D" w:rsidRDefault="00D02CB0" w:rsidP="00145C61">
      <w:pPr>
        <w:pStyle w:val="Listepuces"/>
        <w:rPr>
          <w:rFonts w:cs="Open Sans"/>
        </w:rPr>
      </w:pPr>
      <w:r w:rsidRPr="00B41C5D">
        <w:rPr>
          <w:rFonts w:cs="Open Sans"/>
        </w:rPr>
        <w:t>Logo : enveloppe avec logo AP-HP (O</w:t>
      </w:r>
      <w:r w:rsidR="004222E3">
        <w:rPr>
          <w:rFonts w:cs="Open Sans"/>
        </w:rPr>
        <w:t>ui</w:t>
      </w:r>
      <w:r w:rsidRPr="00B41C5D">
        <w:rPr>
          <w:rFonts w:cs="Open Sans"/>
        </w:rPr>
        <w:t>), enveloppe blanche (N</w:t>
      </w:r>
      <w:r w:rsidR="004222E3">
        <w:rPr>
          <w:rFonts w:cs="Open Sans"/>
        </w:rPr>
        <w:t>on</w:t>
      </w:r>
      <w:r w:rsidRPr="00B41C5D">
        <w:rPr>
          <w:rFonts w:cs="Open Sans"/>
        </w:rPr>
        <w:t>)</w:t>
      </w:r>
    </w:p>
    <w:p w14:paraId="629F7983" w14:textId="77777777" w:rsidR="00D02CB0" w:rsidRPr="00B41C5D" w:rsidRDefault="00D02CB0" w:rsidP="00145C61">
      <w:pPr>
        <w:pStyle w:val="Listepuces"/>
        <w:rPr>
          <w:rFonts w:cs="Open Sans"/>
        </w:rPr>
      </w:pPr>
      <w:r w:rsidRPr="00B41C5D">
        <w:rPr>
          <w:rFonts w:cs="Open Sans"/>
        </w:rPr>
        <w:t>Enveloppe : format d’enveloppe (DL, C5, C4)</w:t>
      </w:r>
    </w:p>
    <w:p w14:paraId="1B057288" w14:textId="77777777" w:rsidR="00D02CB0" w:rsidRPr="00B41C5D" w:rsidRDefault="00D02CB0" w:rsidP="00145C61">
      <w:pPr>
        <w:pStyle w:val="Listepuces"/>
        <w:rPr>
          <w:rFonts w:cs="Open Sans"/>
        </w:rPr>
      </w:pPr>
      <w:r w:rsidRPr="00B41C5D">
        <w:rPr>
          <w:rFonts w:cs="Open Sans"/>
        </w:rPr>
        <w:t>Encart : Encarts physiques en mise sous pli</w:t>
      </w:r>
    </w:p>
    <w:p w14:paraId="3B077A03" w14:textId="77777777" w:rsidR="00D02CB0" w:rsidRPr="00B41C5D" w:rsidRDefault="00D02CB0" w:rsidP="00145C61">
      <w:pPr>
        <w:pStyle w:val="Listepuces"/>
        <w:rPr>
          <w:rFonts w:cs="Open Sans"/>
        </w:rPr>
      </w:pPr>
      <w:proofErr w:type="spellStart"/>
      <w:r w:rsidRPr="00B41C5D">
        <w:rPr>
          <w:rFonts w:cs="Open Sans"/>
        </w:rPr>
        <w:t>Prédé</w:t>
      </w:r>
      <w:proofErr w:type="spellEnd"/>
      <w:r w:rsidRPr="00B41C5D">
        <w:rPr>
          <w:rFonts w:cs="Open Sans"/>
        </w:rPr>
        <w:t> : Prédécoupe du feuillet 1</w:t>
      </w:r>
    </w:p>
    <w:p w14:paraId="11AFBECA" w14:textId="454600D0" w:rsidR="00DD57E0" w:rsidRPr="00B41C5D" w:rsidRDefault="00DD57E0" w:rsidP="00D02CB0">
      <w:pPr>
        <w:pStyle w:val="Corpsdetexte"/>
        <w:rPr>
          <w:rFonts w:cs="Open Sans"/>
          <w:bCs/>
        </w:rPr>
      </w:pPr>
      <w:r w:rsidRPr="009B610D">
        <w:rPr>
          <w:rFonts w:cs="Open Sans"/>
          <w:bCs/>
        </w:rPr>
        <w:t>Note : sur du papier blanc bobine la prédécoupe peut se faire en micro-perforations.</w:t>
      </w:r>
    </w:p>
    <w:p w14:paraId="28E09E2E" w14:textId="29C5508B" w:rsidR="00D02CB0" w:rsidRPr="00B41C5D" w:rsidRDefault="00D02CB0" w:rsidP="00D02CB0">
      <w:pPr>
        <w:pStyle w:val="Corpsdetexte"/>
        <w:rPr>
          <w:rFonts w:cs="Open Sans"/>
        </w:rPr>
      </w:pPr>
      <w:r w:rsidRPr="009B610D">
        <w:rPr>
          <w:rFonts w:cs="Open Sans"/>
          <w:b/>
          <w:u w:val="single"/>
        </w:rPr>
        <w:t>Plis à l’international :</w:t>
      </w:r>
      <w:r w:rsidRPr="009B610D">
        <w:rPr>
          <w:rFonts w:cs="Open Sans"/>
        </w:rPr>
        <w:t xml:space="preserve"> certains courriers sont envoyés à l’étranger, la volumétrie en 2023 était de 9 000 plis. L’affranchissement de ces courriers s’appuie sur le contrat postal du titulaire (Alliage Premium par exemple), voir plus loin le paragraphe relatif à l’affranchissement pour l’étranger.</w:t>
      </w:r>
    </w:p>
    <w:p w14:paraId="1E8A8E27" w14:textId="1B70C8BE" w:rsidR="00F721B4" w:rsidRDefault="00F721B4" w:rsidP="00D02CB0">
      <w:pPr>
        <w:pStyle w:val="Titre2"/>
      </w:pPr>
      <w:bookmarkStart w:id="21" w:name="_Toc201153273"/>
      <w:r>
        <w:t>Phase d’initialisation</w:t>
      </w:r>
      <w:bookmarkEnd w:id="21"/>
    </w:p>
    <w:p w14:paraId="65BB28E8" w14:textId="3E689528" w:rsidR="00145C61" w:rsidRDefault="00145C61" w:rsidP="00737AF4">
      <w:pPr>
        <w:pStyle w:val="Corpsdetexte"/>
        <w:tabs>
          <w:tab w:val="left" w:pos="567"/>
        </w:tabs>
        <w:ind w:left="284" w:hanging="284"/>
        <w:jc w:val="left"/>
      </w:pPr>
      <w:r>
        <w:t>Le marché comporte trois phases successives :</w:t>
      </w:r>
      <w:r w:rsidR="00E12AC6">
        <w:br/>
      </w:r>
      <w:r w:rsidR="00737AF4">
        <w:t>1)</w:t>
      </w:r>
      <w:r w:rsidR="00737AF4">
        <w:tab/>
      </w:r>
      <w:r>
        <w:t>la mise en œuvre de l’offre du Titulaire, présentée ci-après,</w:t>
      </w:r>
      <w:r w:rsidR="00E12AC6">
        <w:br/>
      </w:r>
      <w:r w:rsidR="00737AF4">
        <w:t>2)</w:t>
      </w:r>
      <w:r w:rsidR="00737AF4">
        <w:tab/>
      </w:r>
      <w:r>
        <w:t xml:space="preserve">l’exploitation, </w:t>
      </w:r>
      <w:r w:rsidRPr="004637ED">
        <w:t xml:space="preserve">pendant </w:t>
      </w:r>
      <w:r>
        <w:t xml:space="preserve">la majeure partie de la durée </w:t>
      </w:r>
      <w:r w:rsidRPr="004637ED">
        <w:t>du marché</w:t>
      </w:r>
      <w:r>
        <w:t>, au cours de laquelle le Titulaire fournit l</w:t>
      </w:r>
      <w:r w:rsidRPr="004637ED">
        <w:t xml:space="preserve">es services, matériels et </w:t>
      </w:r>
      <w:r>
        <w:t xml:space="preserve">exécute les </w:t>
      </w:r>
      <w:r w:rsidRPr="004637ED">
        <w:t>prestations associées</w:t>
      </w:r>
      <w:r>
        <w:t>,</w:t>
      </w:r>
      <w:r w:rsidRPr="004637ED">
        <w:t xml:space="preserve"> prévus au </w:t>
      </w:r>
      <w:r>
        <w:t>marché,</w:t>
      </w:r>
      <w:r w:rsidR="00E12AC6">
        <w:br/>
      </w:r>
      <w:r w:rsidR="00737AF4">
        <w:t>3)</w:t>
      </w:r>
      <w:r w:rsidR="00737AF4">
        <w:tab/>
      </w:r>
      <w:r>
        <w:t>la réversibilité en fin de marché.</w:t>
      </w:r>
    </w:p>
    <w:p w14:paraId="581D26DE" w14:textId="77777777" w:rsidR="00145C61" w:rsidRPr="00B41C5D" w:rsidRDefault="00145C61" w:rsidP="00145C61">
      <w:pPr>
        <w:pStyle w:val="Corpsdetexte"/>
        <w:rPr>
          <w:rFonts w:cs="Open Sans"/>
        </w:rPr>
      </w:pPr>
      <w:r>
        <w:t xml:space="preserve">Durant la première phase, d’initialisation, </w:t>
      </w:r>
      <w:r w:rsidRPr="00A76453">
        <w:t xml:space="preserve">qui a vocation à n’être effectuée qu’une fois, </w:t>
      </w:r>
      <w:r>
        <w:t>l</w:t>
      </w:r>
      <w:r w:rsidRPr="00A76453">
        <w:t xml:space="preserve">e but est de </w:t>
      </w:r>
      <w:r w:rsidRPr="00B41C5D">
        <w:rPr>
          <w:rFonts w:cs="Open Sans"/>
        </w:rPr>
        <w:t>permettre la mise en place des différents éléments d’infrastructure et d’organisation nécessaires au bon fonctionnement du marché. Le Titulaire reprend l’ensemble des filières existantes décrites précédemment et met en place les traitements informatiques à réaliser pour les filières concernées.</w:t>
      </w:r>
    </w:p>
    <w:p w14:paraId="716903A3" w14:textId="77777777" w:rsidR="00145C61" w:rsidRPr="00B41C5D" w:rsidRDefault="00145C61" w:rsidP="00CC1F4E">
      <w:pPr>
        <w:pStyle w:val="ttedeliste"/>
        <w:keepNext w:val="0"/>
        <w:rPr>
          <w:rFonts w:ascii="Open Sans" w:hAnsi="Open Sans" w:cs="Open Sans"/>
        </w:rPr>
      </w:pPr>
      <w:r w:rsidRPr="00B41C5D">
        <w:rPr>
          <w:rFonts w:ascii="Open Sans" w:hAnsi="Open Sans" w:cs="Open Sans"/>
        </w:rPr>
        <w:t xml:space="preserve">La prestation d’Initialisation du marché est un point critique car elle conditionne le succès de la bonne fin des autres prestations à réaliser. </w:t>
      </w:r>
    </w:p>
    <w:p w14:paraId="64BD811E" w14:textId="77777777" w:rsidR="00145C61" w:rsidRPr="00B41C5D" w:rsidRDefault="00145C61" w:rsidP="00145C61">
      <w:pPr>
        <w:pStyle w:val="Corpsdetexte"/>
        <w:rPr>
          <w:rFonts w:cs="Open Sans"/>
          <w:b/>
        </w:rPr>
      </w:pPr>
      <w:r w:rsidRPr="00B41C5D">
        <w:rPr>
          <w:rFonts w:cs="Open Sans"/>
          <w:b/>
        </w:rPr>
        <w:t>Durant cette phase le Titulaire doit se coordonner avec le prestataire sortant de façon à assurer une bascule sans rupture notoire du rythme de production.</w:t>
      </w:r>
    </w:p>
    <w:p w14:paraId="550F544F" w14:textId="77777777" w:rsidR="00145C61" w:rsidRPr="00B41C5D" w:rsidRDefault="00145C61" w:rsidP="00CC1F4E">
      <w:pPr>
        <w:pStyle w:val="ttedeliste"/>
        <w:keepNext w:val="0"/>
        <w:rPr>
          <w:rFonts w:ascii="Open Sans" w:hAnsi="Open Sans" w:cs="Open Sans"/>
        </w:rPr>
      </w:pPr>
      <w:r w:rsidRPr="00B41C5D">
        <w:rPr>
          <w:rFonts w:ascii="Open Sans" w:hAnsi="Open Sans" w:cs="Open Sans"/>
        </w:rPr>
        <w:t>Cette phase initiale du marché commence par une réunion de lancement, proposée et organisée par le titulaire, au plus tôt après la notification du marché, et se termine par sa réception.</w:t>
      </w:r>
    </w:p>
    <w:p w14:paraId="48223091" w14:textId="09414068" w:rsidR="00145C61" w:rsidRPr="00B41C5D" w:rsidRDefault="00145C61" w:rsidP="00CC1F4E">
      <w:pPr>
        <w:pStyle w:val="ttedeliste"/>
        <w:keepNext w:val="0"/>
        <w:rPr>
          <w:rFonts w:ascii="Open Sans" w:hAnsi="Open Sans" w:cs="Open Sans"/>
        </w:rPr>
      </w:pPr>
      <w:r w:rsidRPr="00B41C5D">
        <w:rPr>
          <w:rFonts w:ascii="Open Sans" w:hAnsi="Open Sans" w:cs="Open Sans"/>
        </w:rPr>
        <w:t>La réception de la phase d’initialisation est formalisée dans le CCAP. Elle fait l’objet d’un PV de réception des deux étapes qu’elle comporte, signé par l’AP</w:t>
      </w:r>
      <w:r w:rsidRPr="00B41C5D">
        <w:rPr>
          <w:rFonts w:ascii="Open Sans" w:hAnsi="Open Sans" w:cs="Open Sans"/>
        </w:rPr>
        <w:noBreakHyphen/>
        <w:t>HP.</w:t>
      </w:r>
    </w:p>
    <w:p w14:paraId="62AE0AA8" w14:textId="77777777" w:rsidR="00145C61" w:rsidRPr="00B41C5D" w:rsidRDefault="00145C61" w:rsidP="00CC1F4E">
      <w:pPr>
        <w:pStyle w:val="ttedeliste"/>
        <w:keepNext w:val="0"/>
        <w:rPr>
          <w:rFonts w:ascii="Open Sans" w:hAnsi="Open Sans" w:cs="Open Sans"/>
        </w:rPr>
      </w:pPr>
      <w:r w:rsidRPr="00B41C5D">
        <w:rPr>
          <w:rFonts w:ascii="Open Sans" w:hAnsi="Open Sans" w:cs="Open Sans"/>
        </w:rPr>
        <w:t xml:space="preserve">Sous peine de pénalités elle est d’une durée maximale totale de 3 mois à partir de la réunion de lancement. Le CCAP précise le calcul de pénalités applicable en cas de dépassement. </w:t>
      </w:r>
    </w:p>
    <w:p w14:paraId="49DBC305" w14:textId="77777777" w:rsidR="00145C61" w:rsidRPr="00B41C5D" w:rsidRDefault="00145C61" w:rsidP="00CC1F4E">
      <w:pPr>
        <w:pStyle w:val="ttedeliste"/>
        <w:keepNext w:val="0"/>
        <w:rPr>
          <w:rFonts w:ascii="Open Sans" w:hAnsi="Open Sans" w:cs="Open Sans"/>
        </w:rPr>
      </w:pPr>
      <w:r w:rsidRPr="00B41C5D">
        <w:rPr>
          <w:rFonts w:ascii="Open Sans" w:hAnsi="Open Sans" w:cs="Open Sans"/>
        </w:rPr>
        <w:lastRenderedPageBreak/>
        <w:t>La phase d’initialisation fait l’objet d’un prix forfaitaire de « mise en œuvre et démarrage du Centre de Services Editiques ».</w:t>
      </w:r>
    </w:p>
    <w:p w14:paraId="0ED5778D" w14:textId="77777777" w:rsidR="00145C61" w:rsidRPr="00B41C5D" w:rsidRDefault="00145C61" w:rsidP="00145C61">
      <w:pPr>
        <w:pStyle w:val="Corpsdetexte"/>
        <w:rPr>
          <w:rFonts w:cs="Open Sans"/>
        </w:rPr>
      </w:pPr>
      <w:r w:rsidRPr="00B41C5D">
        <w:rPr>
          <w:rFonts w:cs="Open Sans"/>
        </w:rPr>
        <w:t>Les deux étapes sont :</w:t>
      </w:r>
    </w:p>
    <w:p w14:paraId="447C42C3" w14:textId="13F7CB2C" w:rsidR="00F721B4" w:rsidRDefault="00F721B4" w:rsidP="00D02CB0">
      <w:pPr>
        <w:pStyle w:val="Titre3"/>
      </w:pPr>
      <w:bookmarkStart w:id="22" w:name="_Toc201153274"/>
      <w:r>
        <w:t>Étape 1 : mise en œuvre de la production éditique</w:t>
      </w:r>
      <w:bookmarkEnd w:id="22"/>
    </w:p>
    <w:p w14:paraId="55ED0002" w14:textId="4F1D8F3F" w:rsidR="00145C61" w:rsidRPr="00C943FD" w:rsidRDefault="00145C61" w:rsidP="00145C61">
      <w:pPr>
        <w:pStyle w:val="Corpsdetexte"/>
        <w:rPr>
          <w:rFonts w:cs="Open Sans"/>
        </w:rPr>
      </w:pPr>
      <w:r w:rsidRPr="00C943FD">
        <w:rPr>
          <w:rFonts w:cs="Open Sans"/>
        </w:rPr>
        <w:t xml:space="preserve">Il s’agit d’installer les services à prendre en charge par le Centre de Services Editiques et </w:t>
      </w:r>
      <w:r w:rsidR="00EC1502">
        <w:rPr>
          <w:rFonts w:cs="Open Sans"/>
        </w:rPr>
        <w:t xml:space="preserve">de </w:t>
      </w:r>
      <w:r w:rsidRPr="00C943FD">
        <w:rPr>
          <w:rFonts w:cs="Open Sans"/>
        </w:rPr>
        <w:t>mettre en œuvre le socle technique sous-jacent conformément au contrat d’interfaces en annexe.</w:t>
      </w:r>
    </w:p>
    <w:p w14:paraId="00262AFE" w14:textId="77777777" w:rsidR="00145C61" w:rsidRPr="00C943FD" w:rsidRDefault="00145C61" w:rsidP="00145C61">
      <w:pPr>
        <w:pStyle w:val="ttedeliste"/>
        <w:rPr>
          <w:rFonts w:ascii="Open Sans" w:hAnsi="Open Sans" w:cs="Open Sans"/>
        </w:rPr>
      </w:pPr>
      <w:r w:rsidRPr="00C943FD">
        <w:rPr>
          <w:rFonts w:ascii="Open Sans" w:hAnsi="Open Sans" w:cs="Open Sans"/>
        </w:rPr>
        <w:t>Le Titulaire réalise les prestations permettant au Centre de Services Editiques de fonctionner en termes de production opérationnelle :</w:t>
      </w:r>
    </w:p>
    <w:p w14:paraId="534BF2B7" w14:textId="77777777" w:rsidR="00145C61" w:rsidRPr="00C943FD" w:rsidRDefault="00145C61" w:rsidP="00145C61">
      <w:pPr>
        <w:pStyle w:val="listesimple"/>
        <w:rPr>
          <w:rFonts w:ascii="Open Sans" w:hAnsi="Open Sans" w:cs="Open Sans"/>
        </w:rPr>
      </w:pPr>
      <w:r w:rsidRPr="00C943FD">
        <w:rPr>
          <w:rFonts w:ascii="Open Sans" w:hAnsi="Open Sans" w:cs="Open Sans"/>
        </w:rPr>
        <w:t>Réalisation des Spécifications Fonctionnelles Détaillées de cette mise en œuvre conformément au contrat d’interfaces proposé en annexe</w:t>
      </w:r>
    </w:p>
    <w:p w14:paraId="23AB4946" w14:textId="7BFC3473" w:rsidR="00145C61" w:rsidRPr="009B610D" w:rsidRDefault="00145C61" w:rsidP="00145C61">
      <w:pPr>
        <w:pStyle w:val="listesimple"/>
        <w:rPr>
          <w:rFonts w:ascii="Open Sans" w:hAnsi="Open Sans" w:cs="Open Sans"/>
        </w:rPr>
      </w:pPr>
      <w:r w:rsidRPr="00C943FD">
        <w:rPr>
          <w:rFonts w:ascii="Open Sans" w:hAnsi="Open Sans" w:cs="Open Sans"/>
        </w:rPr>
        <w:t xml:space="preserve">Mise en conformité (si nécessaire) des modes d’échange (transfert de fichiers entre l’AP-HP et le </w:t>
      </w:r>
      <w:r w:rsidRPr="009B610D">
        <w:rPr>
          <w:rFonts w:ascii="Open Sans" w:hAnsi="Open Sans" w:cs="Open Sans"/>
        </w:rPr>
        <w:t xml:space="preserve">prestataire) de manière à garantir un haut niveau de sécurité des données (CFT sécurisé ou </w:t>
      </w:r>
      <w:r w:rsidR="002F40DA" w:rsidRPr="009B610D">
        <w:rPr>
          <w:rFonts w:ascii="Open Sans" w:hAnsi="Open Sans" w:cs="Open Sans"/>
        </w:rPr>
        <w:t>SFTP</w:t>
      </w:r>
      <w:r w:rsidRPr="009B610D">
        <w:rPr>
          <w:rFonts w:ascii="Open Sans" w:hAnsi="Open Sans" w:cs="Open Sans"/>
        </w:rPr>
        <w:t>)</w:t>
      </w:r>
    </w:p>
    <w:p w14:paraId="7D26CEC7" w14:textId="77777777" w:rsidR="00145C61" w:rsidRPr="00C943FD" w:rsidRDefault="00145C61" w:rsidP="00145C61">
      <w:pPr>
        <w:pStyle w:val="listesimple"/>
        <w:rPr>
          <w:rFonts w:ascii="Open Sans" w:hAnsi="Open Sans" w:cs="Open Sans"/>
        </w:rPr>
      </w:pPr>
      <w:r w:rsidRPr="00C943FD">
        <w:rPr>
          <w:rFonts w:ascii="Open Sans" w:hAnsi="Open Sans" w:cs="Open Sans"/>
        </w:rPr>
        <w:t>Mise en œuvre des automatismes de prise en charge et de restitution des fichiers</w:t>
      </w:r>
    </w:p>
    <w:p w14:paraId="54D7AC04" w14:textId="77777777" w:rsidR="00145C61" w:rsidRPr="00C943FD" w:rsidRDefault="00145C61" w:rsidP="00145C61">
      <w:pPr>
        <w:pStyle w:val="listesimple"/>
        <w:rPr>
          <w:rFonts w:ascii="Open Sans" w:hAnsi="Open Sans" w:cs="Open Sans"/>
        </w:rPr>
      </w:pPr>
      <w:r w:rsidRPr="00C943FD">
        <w:rPr>
          <w:rFonts w:ascii="Open Sans" w:hAnsi="Open Sans" w:cs="Open Sans"/>
        </w:rPr>
        <w:t>Intégration flux sur sa propre plateforme industrielle</w:t>
      </w:r>
    </w:p>
    <w:p w14:paraId="70EEFBE1" w14:textId="77777777" w:rsidR="00145C61" w:rsidRPr="00C943FD" w:rsidRDefault="00145C61" w:rsidP="00145C61">
      <w:pPr>
        <w:pStyle w:val="listesimple"/>
        <w:rPr>
          <w:rFonts w:ascii="Open Sans" w:hAnsi="Open Sans" w:cs="Open Sans"/>
        </w:rPr>
      </w:pPr>
      <w:r w:rsidRPr="00C943FD">
        <w:rPr>
          <w:rFonts w:ascii="Open Sans" w:hAnsi="Open Sans" w:cs="Open Sans"/>
        </w:rPr>
        <w:t>Ouverture des droits et paramétrage des accès</w:t>
      </w:r>
    </w:p>
    <w:p w14:paraId="1B41CC32" w14:textId="77777777" w:rsidR="00145C61" w:rsidRPr="00C943FD" w:rsidRDefault="00145C61" w:rsidP="00F21C53">
      <w:pPr>
        <w:pStyle w:val="Findeliste"/>
        <w:rPr>
          <w:rFonts w:ascii="Open Sans" w:hAnsi="Open Sans" w:cs="Open Sans"/>
        </w:rPr>
      </w:pPr>
      <w:r w:rsidRPr="00C943FD">
        <w:rPr>
          <w:rFonts w:ascii="Open Sans" w:hAnsi="Open Sans" w:cs="Open Sans"/>
        </w:rPr>
        <w:t>Tests et recettes de l’opérationnalité du Centre de Services Editiques</w:t>
      </w:r>
    </w:p>
    <w:p w14:paraId="46434B8B" w14:textId="3ABFFE18" w:rsidR="00145C61" w:rsidRDefault="00EC1502" w:rsidP="00145C61">
      <w:pPr>
        <w:pStyle w:val="Corpsdetexte"/>
        <w:rPr>
          <w:rFonts w:cs="Open Sans"/>
        </w:rPr>
      </w:pPr>
      <w:r w:rsidRPr="00C943FD">
        <w:rPr>
          <w:rFonts w:cs="Open Sans"/>
        </w:rPr>
        <w:t>A</w:t>
      </w:r>
      <w:r w:rsidR="00145C61" w:rsidRPr="00C943FD">
        <w:rPr>
          <w:rFonts w:cs="Open Sans"/>
        </w:rPr>
        <w:t xml:space="preserve"> l’issue de cette étape</w:t>
      </w:r>
      <w:r>
        <w:rPr>
          <w:rFonts w:cs="Open Sans"/>
        </w:rPr>
        <w:t>,</w:t>
      </w:r>
      <w:r w:rsidR="00145C61" w:rsidRPr="00C943FD">
        <w:rPr>
          <w:rFonts w:cs="Open Sans"/>
        </w:rPr>
        <w:t xml:space="preserve"> le Centre de Services Editiques est prêt à fonctionner. Cette 1</w:t>
      </w:r>
      <w:r w:rsidR="00145C61" w:rsidRPr="00C943FD">
        <w:rPr>
          <w:rFonts w:cs="Open Sans"/>
          <w:vertAlign w:val="superscript"/>
        </w:rPr>
        <w:t>ère</w:t>
      </w:r>
      <w:r w:rsidR="00145C61" w:rsidRPr="00C943FD">
        <w:rPr>
          <w:rFonts w:cs="Open Sans"/>
        </w:rPr>
        <w:t xml:space="preserve"> étape étant terminée avec succès, le Titulaire est en mesure de réceptionner électroniquement et de traiter tous les types de documents prévus. Actuellement</w:t>
      </w:r>
      <w:r>
        <w:rPr>
          <w:rFonts w:cs="Open Sans"/>
        </w:rPr>
        <w:t>,</w:t>
      </w:r>
      <w:r w:rsidR="00145C61" w:rsidRPr="00C943FD">
        <w:rPr>
          <w:rFonts w:cs="Open Sans"/>
        </w:rPr>
        <w:t xml:space="preserve"> ils sont tous au format PDF</w:t>
      </w:r>
      <w:r>
        <w:rPr>
          <w:rFonts w:cs="Open Sans"/>
        </w:rPr>
        <w:t>,</w:t>
      </w:r>
      <w:r w:rsidR="00145C61" w:rsidRPr="00C943FD">
        <w:rPr>
          <w:rFonts w:cs="Open Sans"/>
        </w:rPr>
        <w:t xml:space="preserve"> mais, en cas d’évolution ou de création de filière, le titulaire devra supporter pareillement, le cas échéant, les formats de fichier usuels de présentation documentaire (PDF, PCL, Postscript, AFP).</w:t>
      </w:r>
    </w:p>
    <w:p w14:paraId="460AA184" w14:textId="5BFC9941" w:rsidR="008F2A85" w:rsidRPr="00C943FD" w:rsidRDefault="008F2A85" w:rsidP="00145C61">
      <w:pPr>
        <w:pStyle w:val="Corpsdetexte"/>
        <w:rPr>
          <w:rFonts w:cs="Open Sans"/>
        </w:rPr>
      </w:pPr>
      <w:r>
        <w:rPr>
          <w:rFonts w:cs="Open Sans"/>
        </w:rPr>
        <w:t>Actuellement</w:t>
      </w:r>
      <w:r w:rsidR="00EC1502">
        <w:rPr>
          <w:rFonts w:cs="Open Sans"/>
        </w:rPr>
        <w:t>,</w:t>
      </w:r>
      <w:r>
        <w:rPr>
          <w:rFonts w:cs="Open Sans"/>
        </w:rPr>
        <w:t xml:space="preserve"> l’AP-HP utilise</w:t>
      </w:r>
      <w:r w:rsidR="004222E3">
        <w:rPr>
          <w:rFonts w:cs="Open Sans"/>
        </w:rPr>
        <w:t xml:space="preserve"> le logiciel </w:t>
      </w:r>
      <w:r>
        <w:rPr>
          <w:rFonts w:cs="Open Sans"/>
        </w:rPr>
        <w:t>CFT</w:t>
      </w:r>
      <w:r w:rsidR="004222E3">
        <w:rPr>
          <w:rFonts w:cs="Open Sans"/>
        </w:rPr>
        <w:t xml:space="preserve"> (Cross File Transfert)</w:t>
      </w:r>
      <w:r>
        <w:rPr>
          <w:rFonts w:cs="Open Sans"/>
        </w:rPr>
        <w:t>. Le mode SFTP doit être opérationnel pour le cas où l’AP-HP décide de s’en servir.</w:t>
      </w:r>
    </w:p>
    <w:p w14:paraId="6E1A0F73" w14:textId="616565E6" w:rsidR="00F721B4" w:rsidRDefault="00F721B4" w:rsidP="00D02CB0">
      <w:pPr>
        <w:pStyle w:val="Titre3"/>
      </w:pPr>
      <w:bookmarkStart w:id="23" w:name="_Toc201153275"/>
      <w:r>
        <w:t>Étape 2 : prise en charge des documents à produire</w:t>
      </w:r>
      <w:bookmarkEnd w:id="23"/>
    </w:p>
    <w:p w14:paraId="78794530" w14:textId="77777777" w:rsidR="00145C61" w:rsidRDefault="00145C61" w:rsidP="00145C61">
      <w:pPr>
        <w:pStyle w:val="Corpsdetexte"/>
      </w:pPr>
      <w:r>
        <w:t>Un processus et des règles de gestion documentaire sont établis par l’AP-HP. Pour chaque type ou modèle de document identifié, l’AP-HP émet auprès du Titulaire un cadre de production et de services.</w:t>
      </w:r>
    </w:p>
    <w:p w14:paraId="5F604569" w14:textId="77777777" w:rsidR="00145C61" w:rsidRDefault="00145C61" w:rsidP="00145C61">
      <w:pPr>
        <w:pStyle w:val="Corpsdetexte"/>
      </w:pPr>
      <w:r>
        <w:t xml:space="preserve">Le titulaire aide l’AP-HP à établir un tableau de l’ensemble des types ou modèles de documents éligibles à être traités par le Centre des Services Editiques. Voir l’exemple figurant </w:t>
      </w:r>
      <w:r w:rsidRPr="00A026D3">
        <w:t>dans l’annexe au présent CCTP relative au</w:t>
      </w:r>
      <w:r>
        <w:t xml:space="preserve"> tableau des documents types.</w:t>
      </w:r>
    </w:p>
    <w:p w14:paraId="0B53BA78" w14:textId="77777777" w:rsidR="00145C61" w:rsidRDefault="00145C61" w:rsidP="00145C61">
      <w:pPr>
        <w:pStyle w:val="Corpsdetexte"/>
      </w:pPr>
      <w:r>
        <w:t>Un tableau récapitulatif définit et décrit les prestations demandées en termes de caractéristiques nécessaires à la production éditique, et en termes de services attendus par type ou modèle de documents.</w:t>
      </w:r>
    </w:p>
    <w:p w14:paraId="26254199" w14:textId="77777777" w:rsidR="00145C61" w:rsidRPr="00B41C5D" w:rsidRDefault="00145C61" w:rsidP="00145C61">
      <w:pPr>
        <w:pStyle w:val="Corpsdetexte"/>
        <w:rPr>
          <w:rFonts w:cs="Open Sans"/>
        </w:rPr>
      </w:pPr>
      <w:r w:rsidRPr="00B41C5D">
        <w:rPr>
          <w:rFonts w:cs="Open Sans"/>
        </w:rPr>
        <w:t>Ainsi composé, ce tableau définit la demande de services de l’AP</w:t>
      </w:r>
      <w:r w:rsidRPr="00B41C5D">
        <w:rPr>
          <w:rFonts w:cs="Open Sans"/>
        </w:rPr>
        <w:noBreakHyphen/>
        <w:t>HP auprès du Centre des Services Editiques.</w:t>
      </w:r>
    </w:p>
    <w:p w14:paraId="7E52404D" w14:textId="1B5073E1" w:rsidR="00145C61" w:rsidRPr="00B41C5D" w:rsidRDefault="00145C61" w:rsidP="00145C61">
      <w:pPr>
        <w:pStyle w:val="ttedeliste"/>
        <w:rPr>
          <w:rFonts w:ascii="Open Sans" w:hAnsi="Open Sans" w:cs="Open Sans"/>
        </w:rPr>
      </w:pPr>
      <w:r w:rsidRPr="00B41C5D">
        <w:rPr>
          <w:rFonts w:ascii="Open Sans" w:hAnsi="Open Sans" w:cs="Open Sans"/>
        </w:rPr>
        <w:t>Dans ce tableau de commandes, on doit trouver par exemple, et de manière non exhaustive les informations suivantes pour un type de document et/ou pour un modèle donné :</w:t>
      </w:r>
    </w:p>
    <w:p w14:paraId="3479D33E" w14:textId="77777777" w:rsidR="00145C61" w:rsidRPr="00B41C5D" w:rsidRDefault="00145C61" w:rsidP="00145C61">
      <w:pPr>
        <w:pStyle w:val="listesimple"/>
        <w:rPr>
          <w:rFonts w:ascii="Open Sans" w:hAnsi="Open Sans" w:cs="Open Sans"/>
        </w:rPr>
      </w:pPr>
      <w:r w:rsidRPr="00B41C5D">
        <w:rPr>
          <w:rFonts w:ascii="Open Sans" w:hAnsi="Open Sans" w:cs="Open Sans"/>
        </w:rPr>
        <w:t>Format</w:t>
      </w:r>
    </w:p>
    <w:p w14:paraId="40A9C25F"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A4</w:t>
      </w:r>
    </w:p>
    <w:p w14:paraId="4B928FFA"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Double A4 (2 A4 sur 1 A3)</w:t>
      </w:r>
    </w:p>
    <w:p w14:paraId="50AA3F03" w14:textId="77777777" w:rsidR="00145C61" w:rsidRPr="00B41C5D" w:rsidRDefault="00145C61" w:rsidP="00145C61">
      <w:pPr>
        <w:pStyle w:val="listesimple"/>
        <w:rPr>
          <w:rFonts w:ascii="Open Sans" w:hAnsi="Open Sans" w:cs="Open Sans"/>
        </w:rPr>
      </w:pPr>
      <w:r w:rsidRPr="00B41C5D">
        <w:rPr>
          <w:rFonts w:ascii="Open Sans" w:hAnsi="Open Sans" w:cs="Open Sans"/>
        </w:rPr>
        <w:t>Edition</w:t>
      </w:r>
    </w:p>
    <w:p w14:paraId="2E404416"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N&amp;B Recto</w:t>
      </w:r>
    </w:p>
    <w:p w14:paraId="7280CC57"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N&amp;B Recto-Verso</w:t>
      </w:r>
    </w:p>
    <w:p w14:paraId="522C2954"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Quadrichromie Recto</w:t>
      </w:r>
    </w:p>
    <w:p w14:paraId="033A61F2"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Quadrichromie Recto-Verso</w:t>
      </w:r>
    </w:p>
    <w:p w14:paraId="71CC4000" w14:textId="77777777" w:rsidR="00145C61" w:rsidRPr="00B41C5D" w:rsidRDefault="00145C61" w:rsidP="00145C61">
      <w:pPr>
        <w:pStyle w:val="listesimple"/>
        <w:rPr>
          <w:rFonts w:ascii="Open Sans" w:hAnsi="Open Sans" w:cs="Open Sans"/>
        </w:rPr>
      </w:pPr>
      <w:r w:rsidRPr="00B41C5D">
        <w:rPr>
          <w:rFonts w:ascii="Open Sans" w:hAnsi="Open Sans" w:cs="Open Sans"/>
        </w:rPr>
        <w:lastRenderedPageBreak/>
        <w:t>Mise sous pli</w:t>
      </w:r>
    </w:p>
    <w:p w14:paraId="43C03DF5"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Format DL (114mm x 229mm), pour plis de 1 à 6 feuillets</w:t>
      </w:r>
    </w:p>
    <w:p w14:paraId="4115B772" w14:textId="77777777" w:rsidR="00145C61" w:rsidRPr="00B41C5D" w:rsidRDefault="00145C61" w:rsidP="00145C61">
      <w:pPr>
        <w:pStyle w:val="listesimple"/>
        <w:numPr>
          <w:ilvl w:val="2"/>
          <w:numId w:val="38"/>
        </w:numPr>
        <w:rPr>
          <w:rFonts w:ascii="Open Sans" w:hAnsi="Open Sans" w:cs="Open Sans"/>
        </w:rPr>
      </w:pPr>
      <w:r w:rsidRPr="00B41C5D">
        <w:rPr>
          <w:rFonts w:ascii="Open Sans" w:hAnsi="Open Sans" w:cs="Open Sans"/>
        </w:rPr>
        <w:t>Insertion encarts (maxi 4 par plis),</w:t>
      </w:r>
    </w:p>
    <w:p w14:paraId="792B6947" w14:textId="77777777" w:rsidR="00145C61" w:rsidRPr="00B41C5D" w:rsidRDefault="00145C61" w:rsidP="00145C61">
      <w:pPr>
        <w:pStyle w:val="listesimple"/>
        <w:numPr>
          <w:ilvl w:val="2"/>
          <w:numId w:val="38"/>
        </w:numPr>
        <w:rPr>
          <w:rFonts w:ascii="Open Sans" w:hAnsi="Open Sans" w:cs="Open Sans"/>
        </w:rPr>
      </w:pPr>
      <w:r w:rsidRPr="00B41C5D">
        <w:rPr>
          <w:rFonts w:ascii="Open Sans" w:hAnsi="Open Sans" w:cs="Open Sans"/>
        </w:rPr>
        <w:t>Pour les courriers recommandés, édition et dépose du document de recommandation.</w:t>
      </w:r>
    </w:p>
    <w:p w14:paraId="1172B2F8"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Format C5 (162mm x 229mm), pour plis de 7 à 15 feuillets (autre exemple de format)</w:t>
      </w:r>
    </w:p>
    <w:p w14:paraId="78489667" w14:textId="77777777" w:rsidR="00145C61" w:rsidRPr="00B41C5D" w:rsidRDefault="00145C61" w:rsidP="00145C61">
      <w:pPr>
        <w:pStyle w:val="listesimple"/>
        <w:numPr>
          <w:ilvl w:val="2"/>
          <w:numId w:val="38"/>
        </w:numPr>
        <w:rPr>
          <w:rFonts w:ascii="Open Sans" w:hAnsi="Open Sans" w:cs="Open Sans"/>
        </w:rPr>
      </w:pPr>
      <w:r w:rsidRPr="00B41C5D">
        <w:rPr>
          <w:rFonts w:ascii="Open Sans" w:hAnsi="Open Sans" w:cs="Open Sans"/>
        </w:rPr>
        <w:t>Insertion encarts (maxi 4 par plis).</w:t>
      </w:r>
    </w:p>
    <w:p w14:paraId="13BEE41B" w14:textId="77777777" w:rsidR="00145C61" w:rsidRPr="00B41C5D" w:rsidRDefault="00145C61" w:rsidP="00145C61">
      <w:pPr>
        <w:pStyle w:val="listesimple"/>
        <w:numPr>
          <w:ilvl w:val="1"/>
          <w:numId w:val="38"/>
        </w:numPr>
        <w:rPr>
          <w:rFonts w:ascii="Open Sans" w:hAnsi="Open Sans" w:cs="Open Sans"/>
        </w:rPr>
      </w:pPr>
      <w:r w:rsidRPr="00B41C5D">
        <w:rPr>
          <w:rFonts w:ascii="Open Sans" w:hAnsi="Open Sans" w:cs="Open Sans"/>
        </w:rPr>
        <w:t>Format C4</w:t>
      </w:r>
    </w:p>
    <w:p w14:paraId="1D41AEDC" w14:textId="77777777" w:rsidR="00145C61" w:rsidRPr="00B41C5D" w:rsidRDefault="00145C61" w:rsidP="00145C61">
      <w:pPr>
        <w:pStyle w:val="listesimple"/>
        <w:rPr>
          <w:rFonts w:ascii="Open Sans" w:hAnsi="Open Sans" w:cs="Open Sans"/>
        </w:rPr>
      </w:pPr>
      <w:r w:rsidRPr="00B41C5D">
        <w:rPr>
          <w:rFonts w:ascii="Open Sans" w:hAnsi="Open Sans" w:cs="Open Sans"/>
        </w:rPr>
        <w:t>Affranchissements</w:t>
      </w:r>
    </w:p>
    <w:p w14:paraId="7BDDF999" w14:textId="77777777" w:rsidR="00145C61" w:rsidRPr="00B41C5D" w:rsidRDefault="00145C61" w:rsidP="00145C61">
      <w:pPr>
        <w:pStyle w:val="listesimple"/>
        <w:ind w:left="1065"/>
        <w:rPr>
          <w:rFonts w:ascii="Open Sans" w:hAnsi="Open Sans" w:cs="Open Sans"/>
        </w:rPr>
      </w:pPr>
      <w:r w:rsidRPr="00B41C5D">
        <w:rPr>
          <w:rFonts w:ascii="Open Sans" w:hAnsi="Open Sans" w:cs="Open Sans"/>
        </w:rPr>
        <w:t xml:space="preserve">Courriers simples : Lettre, Lettre Verte, </w:t>
      </w:r>
      <w:proofErr w:type="spellStart"/>
      <w:r w:rsidRPr="00B41C5D">
        <w:rPr>
          <w:rFonts w:ascii="Open Sans" w:hAnsi="Open Sans" w:cs="Open Sans"/>
        </w:rPr>
        <w:t>Ecopli</w:t>
      </w:r>
      <w:proofErr w:type="spellEnd"/>
      <w:r w:rsidRPr="00B41C5D">
        <w:rPr>
          <w:rFonts w:ascii="Open Sans" w:hAnsi="Open Sans" w:cs="Open Sans"/>
        </w:rPr>
        <w:t>…</w:t>
      </w:r>
    </w:p>
    <w:p w14:paraId="165F4239" w14:textId="77777777" w:rsidR="00C943FD" w:rsidRPr="00B41C5D" w:rsidRDefault="00145C61" w:rsidP="00C943FD">
      <w:pPr>
        <w:pStyle w:val="listesimple"/>
        <w:ind w:left="1065"/>
        <w:rPr>
          <w:rFonts w:ascii="Open Sans" w:hAnsi="Open Sans" w:cs="Open Sans"/>
        </w:rPr>
      </w:pPr>
      <w:r w:rsidRPr="00B41C5D">
        <w:rPr>
          <w:rFonts w:ascii="Open Sans" w:hAnsi="Open Sans" w:cs="Open Sans"/>
        </w:rPr>
        <w:t xml:space="preserve">Courriers recommandés : Avec AR, sans AR </w:t>
      </w:r>
    </w:p>
    <w:p w14:paraId="432DA3EB" w14:textId="77777777" w:rsidR="00E12AC6" w:rsidRPr="00B41C5D" w:rsidRDefault="00145C61" w:rsidP="00145C61">
      <w:pPr>
        <w:pStyle w:val="ttedeliste"/>
        <w:rPr>
          <w:rFonts w:ascii="Open Sans" w:hAnsi="Open Sans" w:cs="Open Sans"/>
        </w:rPr>
      </w:pPr>
      <w:r w:rsidRPr="00B41C5D">
        <w:rPr>
          <w:rFonts w:ascii="Open Sans" w:hAnsi="Open Sans" w:cs="Open Sans"/>
        </w:rPr>
        <w:t>Dès le premier tableau de documents types finalisé, le titulaire est prêt à traiter opérationnellement en production, tous les types ou modèles de documents qui y figurent</w:t>
      </w:r>
      <w:r w:rsidR="00E12AC6" w:rsidRPr="00B41C5D">
        <w:rPr>
          <w:rFonts w:ascii="Open Sans" w:hAnsi="Open Sans" w:cs="Open Sans"/>
        </w:rPr>
        <w:t>.</w:t>
      </w:r>
    </w:p>
    <w:p w14:paraId="3F6E3477" w14:textId="011D547B" w:rsidR="00145C61" w:rsidRPr="00B41C5D" w:rsidRDefault="00E12AC6" w:rsidP="00C943FD">
      <w:pPr>
        <w:pStyle w:val="Corpsdetexte"/>
        <w:tabs>
          <w:tab w:val="left" w:pos="567"/>
        </w:tabs>
        <w:ind w:left="284" w:hanging="284"/>
        <w:jc w:val="left"/>
        <w:rPr>
          <w:rFonts w:cs="Open Sans"/>
        </w:rPr>
      </w:pPr>
      <w:r w:rsidRPr="00B41C5D">
        <w:rPr>
          <w:rFonts w:cs="Open Sans"/>
        </w:rPr>
        <w:t>A</w:t>
      </w:r>
      <w:r w:rsidR="00145C61" w:rsidRPr="00B41C5D">
        <w:rPr>
          <w:rFonts w:cs="Open Sans"/>
        </w:rPr>
        <w:t xml:space="preserve"> savoir :</w:t>
      </w:r>
      <w:r w:rsidRPr="00B41C5D">
        <w:rPr>
          <w:rFonts w:cs="Open Sans"/>
        </w:rPr>
        <w:br/>
        <w:t>-</w:t>
      </w:r>
      <w:r w:rsidR="00C943FD" w:rsidRPr="00B41C5D">
        <w:rPr>
          <w:rFonts w:cs="Open Sans"/>
        </w:rPr>
        <w:tab/>
      </w:r>
      <w:r w:rsidR="00145C61" w:rsidRPr="00B41C5D">
        <w:rPr>
          <w:rFonts w:cs="Open Sans"/>
        </w:rPr>
        <w:t>l’impression,</w:t>
      </w:r>
      <w:r w:rsidRPr="00B41C5D">
        <w:rPr>
          <w:rFonts w:cs="Open Sans"/>
        </w:rPr>
        <w:br/>
        <w:t>-</w:t>
      </w:r>
      <w:r w:rsidR="00C943FD" w:rsidRPr="00B41C5D">
        <w:rPr>
          <w:rFonts w:cs="Open Sans"/>
        </w:rPr>
        <w:tab/>
      </w:r>
      <w:r w:rsidR="00145C61" w:rsidRPr="00B41C5D">
        <w:rPr>
          <w:rFonts w:cs="Open Sans"/>
        </w:rPr>
        <w:t>la mise sous pli,</w:t>
      </w:r>
      <w:r w:rsidRPr="00B41C5D">
        <w:rPr>
          <w:rFonts w:cs="Open Sans"/>
        </w:rPr>
        <w:br/>
        <w:t>-</w:t>
      </w:r>
      <w:r w:rsidR="00C943FD" w:rsidRPr="00B41C5D">
        <w:rPr>
          <w:rFonts w:cs="Open Sans"/>
        </w:rPr>
        <w:tab/>
      </w:r>
      <w:r w:rsidR="00145C61" w:rsidRPr="00B41C5D">
        <w:rPr>
          <w:rFonts w:cs="Open Sans"/>
        </w:rPr>
        <w:t>l’affranchissement (aucune flamme spécifique AP-HP n’est demandée pour le moment),</w:t>
      </w:r>
      <w:r w:rsidRPr="00B41C5D">
        <w:rPr>
          <w:rFonts w:cs="Open Sans"/>
        </w:rPr>
        <w:br/>
        <w:t>-</w:t>
      </w:r>
      <w:r w:rsidR="00C943FD" w:rsidRPr="00B41C5D">
        <w:rPr>
          <w:rFonts w:cs="Open Sans"/>
        </w:rPr>
        <w:tab/>
      </w:r>
      <w:r w:rsidR="00145C61" w:rsidRPr="00B41C5D">
        <w:rPr>
          <w:rFonts w:cs="Open Sans"/>
        </w:rPr>
        <w:t>la remise en poste.</w:t>
      </w:r>
    </w:p>
    <w:p w14:paraId="01DF95EC" w14:textId="77777777" w:rsidR="00145C61" w:rsidRDefault="00145C61" w:rsidP="00145C61">
      <w:pPr>
        <w:pStyle w:val="Corpsdetexte"/>
      </w:pPr>
      <w:r>
        <w:t>Le Titulaire s’engage à mettre en place un service de retours d’informations par fichiers (transfert CFT). Ces retours commencent dès la prise en compte des transmissions émises par l’AP-HP avec acquittement et contrôle du nombre de fichiers et/ou de plis devant entrer en production. Ces contrôles serviront à vérifier l’exhaustivité et l’intégrité de la production. Si des incohérences sont constatées le Titulaire transmet en retour des rapports d’alertes immédiats. Une revue périodique des alertes est aussi attendue du Titulaire.</w:t>
      </w:r>
    </w:p>
    <w:p w14:paraId="7987264B" w14:textId="77777777" w:rsidR="00145C61" w:rsidRPr="00C943FD" w:rsidRDefault="00145C61" w:rsidP="00145C61">
      <w:pPr>
        <w:pStyle w:val="ttedeliste"/>
        <w:rPr>
          <w:rFonts w:ascii="Open Sans" w:hAnsi="Open Sans" w:cs="Open Sans"/>
        </w:rPr>
      </w:pPr>
      <w:r w:rsidRPr="00C943FD">
        <w:rPr>
          <w:rFonts w:ascii="Open Sans" w:hAnsi="Open Sans" w:cs="Open Sans"/>
        </w:rPr>
        <w:t>Les retours d’informations que le Titulaire doit assurer sont :</w:t>
      </w:r>
    </w:p>
    <w:p w14:paraId="50D507DA" w14:textId="77777777" w:rsidR="00145C61" w:rsidRPr="00C943FD" w:rsidRDefault="00145C61" w:rsidP="00145C61">
      <w:pPr>
        <w:pStyle w:val="listesimple"/>
        <w:rPr>
          <w:rFonts w:ascii="Open Sans" w:hAnsi="Open Sans" w:cs="Open Sans"/>
        </w:rPr>
      </w:pPr>
      <w:r w:rsidRPr="00C943FD">
        <w:rPr>
          <w:rFonts w:ascii="Open Sans" w:hAnsi="Open Sans" w:cs="Open Sans"/>
        </w:rPr>
        <w:t>A chaque réception de flux par transfert CFT, un fichier PEC des plis « pris en charge ».</w:t>
      </w:r>
    </w:p>
    <w:p w14:paraId="179B29AA" w14:textId="77777777" w:rsidR="00145C61" w:rsidRPr="00C943FD" w:rsidRDefault="00145C61" w:rsidP="00145C61">
      <w:pPr>
        <w:pStyle w:val="listesimple"/>
        <w:rPr>
          <w:rFonts w:ascii="Open Sans" w:hAnsi="Open Sans" w:cs="Open Sans"/>
        </w:rPr>
      </w:pPr>
      <w:r w:rsidRPr="00C943FD">
        <w:rPr>
          <w:rFonts w:ascii="Open Sans" w:hAnsi="Open Sans" w:cs="Open Sans"/>
        </w:rPr>
        <w:t xml:space="preserve">A chaque « dépôt poste » ou « dépôt en établissement » de bulletins de salaires (ou de tout autre document futur suivant le même type de circuit de distribution), un fichier DPP. </w:t>
      </w:r>
    </w:p>
    <w:p w14:paraId="369A0EB6" w14:textId="77777777" w:rsidR="00145C61" w:rsidRPr="00C943FD" w:rsidRDefault="00145C61" w:rsidP="00145C61">
      <w:pPr>
        <w:pStyle w:val="listesimple"/>
        <w:rPr>
          <w:rFonts w:ascii="Open Sans" w:hAnsi="Open Sans" w:cs="Open Sans"/>
        </w:rPr>
      </w:pPr>
      <w:r w:rsidRPr="00C943FD">
        <w:rPr>
          <w:rFonts w:ascii="Open Sans" w:hAnsi="Open Sans" w:cs="Open Sans"/>
        </w:rPr>
        <w:t xml:space="preserve">Un fichier des PND, journalier, par transfert CFT, contenant tous les </w:t>
      </w:r>
      <w:proofErr w:type="spellStart"/>
      <w:r w:rsidRPr="00C943FD">
        <w:rPr>
          <w:rFonts w:ascii="Open Sans" w:hAnsi="Open Sans" w:cs="Open Sans"/>
        </w:rPr>
        <w:t>PNDs</w:t>
      </w:r>
      <w:proofErr w:type="spellEnd"/>
      <w:r w:rsidRPr="00C943FD">
        <w:rPr>
          <w:rFonts w:ascii="Open Sans" w:hAnsi="Open Sans" w:cs="Open Sans"/>
        </w:rPr>
        <w:t xml:space="preserve"> du jour retournés par La Poste, conformément au contrat Alliage Premium du prestataire éditique.</w:t>
      </w:r>
    </w:p>
    <w:p w14:paraId="4F333F8C" w14:textId="77777777" w:rsidR="00145C61" w:rsidRPr="00C943FD" w:rsidRDefault="00145C61" w:rsidP="00145C61">
      <w:pPr>
        <w:pStyle w:val="listesimple"/>
        <w:rPr>
          <w:rFonts w:ascii="Open Sans" w:hAnsi="Open Sans" w:cs="Open Sans"/>
        </w:rPr>
      </w:pPr>
      <w:r w:rsidRPr="00C943FD">
        <w:rPr>
          <w:rFonts w:ascii="Open Sans" w:hAnsi="Open Sans" w:cs="Open Sans"/>
        </w:rPr>
        <w:t>Un fichier des rejets, journalier, par transfert CFT, avec tous les rejets du jour (1 rejet = 1 anomalie) survenus lors des traitements réalisés par le prestataire éditique.</w:t>
      </w:r>
    </w:p>
    <w:p w14:paraId="7C19B91E" w14:textId="77777777" w:rsidR="00145C61" w:rsidRPr="00C943FD" w:rsidRDefault="00145C61" w:rsidP="00145C61">
      <w:pPr>
        <w:pStyle w:val="listesimple"/>
        <w:rPr>
          <w:rFonts w:ascii="Open Sans" w:hAnsi="Open Sans" w:cs="Open Sans"/>
        </w:rPr>
      </w:pPr>
      <w:r w:rsidRPr="00C943FD">
        <w:rPr>
          <w:rFonts w:ascii="Open Sans" w:hAnsi="Open Sans" w:cs="Open Sans"/>
        </w:rPr>
        <w:t>Les preuves de dépôt poste électronique lors d’un dépôt de recommandé avec ou sans avis de réception doivent aussi faire l’objet d’un retour à l’AP</w:t>
      </w:r>
      <w:r w:rsidRPr="00C943FD">
        <w:rPr>
          <w:rFonts w:ascii="Open Sans" w:hAnsi="Open Sans" w:cs="Open Sans"/>
        </w:rPr>
        <w:noBreakHyphen/>
        <w:t>HP (au format de la poste française) via un transfert CFT.</w:t>
      </w:r>
    </w:p>
    <w:p w14:paraId="01DFBD3F" w14:textId="19D9BD62" w:rsidR="00145C61" w:rsidRPr="00C943FD" w:rsidRDefault="004822B4" w:rsidP="00145C61">
      <w:pPr>
        <w:pStyle w:val="Corpsdetexte"/>
        <w:rPr>
          <w:rFonts w:cs="Open Sans"/>
        </w:rPr>
      </w:pPr>
      <w:r>
        <w:rPr>
          <w:rFonts w:cs="Open Sans"/>
        </w:rPr>
        <w:t>L</w:t>
      </w:r>
      <w:r w:rsidR="00145C61" w:rsidRPr="00C943FD">
        <w:rPr>
          <w:rFonts w:cs="Open Sans"/>
        </w:rPr>
        <w:t xml:space="preserve">a structure des retours </w:t>
      </w:r>
      <w:r w:rsidR="00EC1502">
        <w:rPr>
          <w:rFonts w:cs="Open Sans"/>
        </w:rPr>
        <w:t xml:space="preserve">est définie dans </w:t>
      </w:r>
      <w:r w:rsidR="00145C61" w:rsidRPr="00C943FD">
        <w:rPr>
          <w:rFonts w:cs="Open Sans"/>
        </w:rPr>
        <w:t>l’annexe</w:t>
      </w:r>
      <w:r w:rsidR="00EC1502">
        <w:rPr>
          <w:rFonts w:cs="Open Sans"/>
        </w:rPr>
        <w:t xml:space="preserve"> 3 du </w:t>
      </w:r>
      <w:r w:rsidR="00145C61" w:rsidRPr="00C943FD">
        <w:rPr>
          <w:rFonts w:cs="Open Sans"/>
        </w:rPr>
        <w:t>présent CCTP</w:t>
      </w:r>
      <w:r w:rsidR="00EC1502">
        <w:rPr>
          <w:rFonts w:cs="Open Sans"/>
        </w:rPr>
        <w:t>.</w:t>
      </w:r>
    </w:p>
    <w:p w14:paraId="31855FBD" w14:textId="0564E3F9" w:rsidR="00C93A37" w:rsidRDefault="00C93A37" w:rsidP="00D02CB0">
      <w:pPr>
        <w:pStyle w:val="Titre3"/>
      </w:pPr>
      <w:bookmarkStart w:id="24" w:name="_Toc201153276"/>
      <w:r>
        <w:t>Reprise de stock</w:t>
      </w:r>
      <w:bookmarkEnd w:id="24"/>
    </w:p>
    <w:p w14:paraId="58ADA5E0" w14:textId="25B635A3" w:rsidR="00C93A37" w:rsidRDefault="009B610D" w:rsidP="00C93A37">
      <w:pPr>
        <w:pStyle w:val="Corpsdetexte"/>
        <w:rPr>
          <w:rFonts w:cs="Open Sans"/>
        </w:rPr>
      </w:pPr>
      <w:r>
        <w:rPr>
          <w:rFonts w:cs="Open Sans"/>
        </w:rPr>
        <w:t xml:space="preserve">Outre les deux étapes précédentes, la phase d’initialisation </w:t>
      </w:r>
      <w:r w:rsidR="00CC1F4E">
        <w:rPr>
          <w:rFonts w:cs="Open Sans"/>
        </w:rPr>
        <w:t xml:space="preserve">comporte aussi la reprise du </w:t>
      </w:r>
      <w:r w:rsidR="00C93A37" w:rsidRPr="009B610D">
        <w:rPr>
          <w:rFonts w:cs="Open Sans"/>
        </w:rPr>
        <w:t xml:space="preserve">stock d’enveloppes logotées </w:t>
      </w:r>
      <w:r w:rsidR="008F2A85" w:rsidRPr="009B610D">
        <w:rPr>
          <w:rFonts w:cs="Open Sans"/>
        </w:rPr>
        <w:t xml:space="preserve">et de retour </w:t>
      </w:r>
      <w:r w:rsidR="00C93A37" w:rsidRPr="009B610D">
        <w:rPr>
          <w:rFonts w:cs="Open Sans"/>
        </w:rPr>
        <w:t xml:space="preserve">AP-HP stockées chez le titulaire sortant, </w:t>
      </w:r>
      <w:r w:rsidR="008F2A85" w:rsidRPr="009B610D">
        <w:rPr>
          <w:rFonts w:cs="Open Sans"/>
        </w:rPr>
        <w:t xml:space="preserve">CORUS, </w:t>
      </w:r>
      <w:r w:rsidR="00C93A37" w:rsidRPr="009B610D">
        <w:rPr>
          <w:rFonts w:cs="Open Sans"/>
        </w:rPr>
        <w:t xml:space="preserve">qui peut représenter une </w:t>
      </w:r>
      <w:r w:rsidR="008F2A85" w:rsidRPr="009B610D">
        <w:rPr>
          <w:rFonts w:cs="Open Sans"/>
        </w:rPr>
        <w:t xml:space="preserve">ou deux </w:t>
      </w:r>
      <w:r w:rsidR="00C93A37" w:rsidRPr="009B610D">
        <w:rPr>
          <w:rFonts w:cs="Open Sans"/>
        </w:rPr>
        <w:t>palette</w:t>
      </w:r>
      <w:r w:rsidR="008F2A85" w:rsidRPr="009B610D">
        <w:rPr>
          <w:rFonts w:cs="Open Sans"/>
        </w:rPr>
        <w:t>s</w:t>
      </w:r>
      <w:r w:rsidR="00C93A37" w:rsidRPr="009B610D">
        <w:rPr>
          <w:rFonts w:cs="Open Sans"/>
        </w:rPr>
        <w:t>, à partir du site de CORUS à Bry-sur-Marne à qui il sera demandé d’y rassembler les éventuels autres stocks.</w:t>
      </w:r>
    </w:p>
    <w:p w14:paraId="0E251C8C" w14:textId="6B8D9476" w:rsidR="00D02CB0" w:rsidRDefault="00F721B4" w:rsidP="00D02CB0">
      <w:pPr>
        <w:pStyle w:val="Titre3"/>
      </w:pPr>
      <w:bookmarkStart w:id="25" w:name="_Toc201153277"/>
      <w:r>
        <w:t>Traitements informatiques sp</w:t>
      </w:r>
      <w:r w:rsidR="00D02CB0">
        <w:t>é</w:t>
      </w:r>
      <w:r>
        <w:t xml:space="preserve">cifiques </w:t>
      </w:r>
      <w:r w:rsidR="00D02CB0">
        <w:t>à</w:t>
      </w:r>
      <w:r>
        <w:t xml:space="preserve"> r</w:t>
      </w:r>
      <w:r w:rsidR="00D02CB0">
        <w:t>é</w:t>
      </w:r>
      <w:r>
        <w:t>aliser</w:t>
      </w:r>
      <w:bookmarkEnd w:id="25"/>
    </w:p>
    <w:p w14:paraId="25AF5882" w14:textId="127F87BA" w:rsidR="002F40DA" w:rsidRDefault="002F40DA" w:rsidP="002F40DA">
      <w:pPr>
        <w:pStyle w:val="Corpsdetexte"/>
      </w:pPr>
      <w:r>
        <w:t>Le Titulaire s’engage aussi, durant la phase d’initialisation et uniquement sur demande formelle de l’AP</w:t>
      </w:r>
      <w:r w:rsidR="009F6D9D">
        <w:noBreakHyphen/>
      </w:r>
      <w:r>
        <w:t>HP, à mettre en place les traitements informatiques nécessaires pour certains documents :</w:t>
      </w:r>
    </w:p>
    <w:p w14:paraId="52E3377C" w14:textId="0173B964" w:rsidR="002F40DA" w:rsidRDefault="002F40DA" w:rsidP="002F40DA">
      <w:pPr>
        <w:pStyle w:val="Titre4"/>
      </w:pPr>
      <w:bookmarkStart w:id="26" w:name="_Toc201153278"/>
      <w:r>
        <w:lastRenderedPageBreak/>
        <w:t>Re</w:t>
      </w:r>
      <w:r w:rsidR="001853A9">
        <w:t>dimensionnement</w:t>
      </w:r>
      <w:r>
        <w:t xml:space="preserve"> des documents</w:t>
      </w:r>
      <w:bookmarkEnd w:id="26"/>
    </w:p>
    <w:p w14:paraId="71D47C17" w14:textId="4BD823B8" w:rsidR="002F40DA" w:rsidRDefault="002F40DA" w:rsidP="002F40DA">
      <w:pPr>
        <w:pStyle w:val="Corpsdetexte"/>
      </w:pPr>
      <w:r>
        <w:t xml:space="preserve">Pour certaines filières (F9 et F10), il est nécessaire de redimensionner </w:t>
      </w:r>
      <w:r w:rsidR="001A564F">
        <w:t>(</w:t>
      </w:r>
      <w:proofErr w:type="spellStart"/>
      <w:r w:rsidR="001A564F">
        <w:t>resizing</w:t>
      </w:r>
      <w:proofErr w:type="spellEnd"/>
      <w:r w:rsidR="001A564F">
        <w:t xml:space="preserve">) </w:t>
      </w:r>
      <w:r>
        <w:t>chaque page de document (PDF) afin de répondre aux dimensions de marges indispensables pour que le prestataire éditique puisse apposer sur chacun des feuillets les différentes lignes optiques nécessaires à l’automatisation de la production industrielle.</w:t>
      </w:r>
    </w:p>
    <w:p w14:paraId="7FA97BB5" w14:textId="77777777" w:rsidR="002F40DA" w:rsidRDefault="002F40DA" w:rsidP="002F40DA">
      <w:pPr>
        <w:pStyle w:val="Corpsdetexte"/>
      </w:pPr>
      <w:r>
        <w:t xml:space="preserve">Ce redimensionnement doit se faire de manière homogène afin de respecter l’identité visuelle des documents (pas de « déformation » visible) et ne pourra en aucun cas </w:t>
      </w:r>
      <w:r w:rsidRPr="00F779A1">
        <w:t>donner lieu à une réduction de plus de 3%</w:t>
      </w:r>
      <w:r>
        <w:t>.</w:t>
      </w:r>
    </w:p>
    <w:p w14:paraId="23FBCA9D" w14:textId="72F73A74" w:rsidR="002F40DA" w:rsidRDefault="002F40DA" w:rsidP="002F40DA">
      <w:pPr>
        <w:pStyle w:val="Titre4"/>
      </w:pPr>
      <w:bookmarkStart w:id="27" w:name="_Toc201153279"/>
      <w:r>
        <w:t>Agrégation des plis en lots</w:t>
      </w:r>
      <w:bookmarkEnd w:id="27"/>
    </w:p>
    <w:p w14:paraId="0D98A641" w14:textId="0440997D" w:rsidR="002F40DA" w:rsidRDefault="002F40DA" w:rsidP="002F40DA">
      <w:pPr>
        <w:pStyle w:val="Corpsdetexte"/>
      </w:pPr>
      <w:r>
        <w:t>Pour les filières F9 et F10, le prestataire éditique se verra transmettre non pas un lot consolidé contenant tous plis (sous forme d’un couple PDF + XML) mais n couples (dan</w:t>
      </w:r>
      <w:r w:rsidR="004D3447">
        <w:t>s</w:t>
      </w:r>
      <w:r>
        <w:t xml:space="preserve"> un zip ou un 7zip) où n correspond au nombre de plis de la filière concerné</w:t>
      </w:r>
      <w:r w:rsidR="004D3447">
        <w:t>e</w:t>
      </w:r>
      <w:r>
        <w:t>.</w:t>
      </w:r>
    </w:p>
    <w:p w14:paraId="342ECE73" w14:textId="77777777" w:rsidR="002F40DA" w:rsidRDefault="002F40DA" w:rsidP="002F40DA">
      <w:pPr>
        <w:pStyle w:val="Corpsdetexte"/>
      </w:pPr>
      <w:r>
        <w:t>Le prestataire éditique a donc pour charge d’agréger lui-même les plis pour constituer les lots de production.</w:t>
      </w:r>
    </w:p>
    <w:p w14:paraId="02B2EC85" w14:textId="2E988E2F" w:rsidR="002F40DA" w:rsidRDefault="002F40DA" w:rsidP="002F40DA">
      <w:pPr>
        <w:pStyle w:val="Corpsdetexte"/>
      </w:pPr>
      <w:r>
        <w:t>Dans l’hypothèse où ces traitements ne seraient pas mis en place lors de la phase d’initialisation, le prestataire éditique peut être sollicit</w:t>
      </w:r>
      <w:r w:rsidR="002C0FB0">
        <w:t>é</w:t>
      </w:r>
      <w:r>
        <w:t xml:space="preserve"> sur toute la durée du marché pour mettre en place ces types de traitement au travers d’une demande d’évolution (nécessitant un devis en </w:t>
      </w:r>
      <w:proofErr w:type="spellStart"/>
      <w:r>
        <w:t>UOs</w:t>
      </w:r>
      <w:proofErr w:type="spellEnd"/>
      <w:r>
        <w:t xml:space="preserve"> </w:t>
      </w:r>
      <w:r w:rsidR="002C0FB0">
        <w:t xml:space="preserve">– </w:t>
      </w:r>
      <w:r>
        <w:t>Unité</w:t>
      </w:r>
      <w:r w:rsidR="002C0FB0">
        <w:t xml:space="preserve"> </w:t>
      </w:r>
      <w:r>
        <w:t>d’œuvre du bordereau de prix</w:t>
      </w:r>
      <w:r w:rsidR="002C0FB0">
        <w:t xml:space="preserve"> – </w:t>
      </w:r>
      <w:r>
        <w:t>validé par l’AP</w:t>
      </w:r>
      <w:r w:rsidR="009F6D9D">
        <w:t>-</w:t>
      </w:r>
      <w:r>
        <w:t>HP et une commande formelle de la part de l’AP</w:t>
      </w:r>
      <w:r w:rsidR="009F6D9D">
        <w:t>-</w:t>
      </w:r>
      <w:r>
        <w:t>HP).</w:t>
      </w:r>
    </w:p>
    <w:p w14:paraId="1C0CE25C" w14:textId="3E9780AE" w:rsidR="00D02CB0" w:rsidRPr="00C943FD" w:rsidRDefault="00F721B4" w:rsidP="00D02CB0">
      <w:pPr>
        <w:pStyle w:val="Titre3"/>
        <w:rPr>
          <w:rFonts w:cs="Open Sans"/>
        </w:rPr>
      </w:pPr>
      <w:bookmarkStart w:id="28" w:name="_Toc201153280"/>
      <w:r w:rsidRPr="00C943FD">
        <w:rPr>
          <w:rFonts w:cs="Open Sans"/>
        </w:rPr>
        <w:t>Plan d’assurance qualit</w:t>
      </w:r>
      <w:r w:rsidR="00D02CB0" w:rsidRPr="00C943FD">
        <w:rPr>
          <w:rFonts w:cs="Open Sans"/>
        </w:rPr>
        <w:t>é</w:t>
      </w:r>
      <w:bookmarkEnd w:id="28"/>
    </w:p>
    <w:p w14:paraId="1D304360" w14:textId="77777777" w:rsidR="002F40DA" w:rsidRPr="00C943FD" w:rsidRDefault="002F40DA" w:rsidP="002F40DA">
      <w:pPr>
        <w:pStyle w:val="ttedeliste"/>
        <w:rPr>
          <w:rFonts w:ascii="Open Sans" w:hAnsi="Open Sans" w:cs="Open Sans"/>
        </w:rPr>
      </w:pPr>
      <w:r w:rsidRPr="00C943FD">
        <w:rPr>
          <w:rFonts w:ascii="Open Sans" w:hAnsi="Open Sans" w:cs="Open Sans"/>
        </w:rPr>
        <w:t>Pendant la phase d’initialisation, le titulaire rédige un Plan d’Assurance Qualité (PAQ).</w:t>
      </w:r>
    </w:p>
    <w:p w14:paraId="036E546B" w14:textId="77777777" w:rsidR="002F40DA" w:rsidRPr="00C943FD" w:rsidRDefault="002F40DA" w:rsidP="002F40DA">
      <w:pPr>
        <w:pStyle w:val="ttedeliste"/>
        <w:rPr>
          <w:rFonts w:ascii="Open Sans" w:hAnsi="Open Sans" w:cs="Open Sans"/>
        </w:rPr>
      </w:pPr>
      <w:r w:rsidRPr="00C943FD">
        <w:rPr>
          <w:rFonts w:ascii="Open Sans" w:hAnsi="Open Sans" w:cs="Open Sans"/>
        </w:rPr>
        <w:t>Dans le PAQ, les dispositions prises prennent en compte que :</w:t>
      </w:r>
    </w:p>
    <w:p w14:paraId="3AA92C6B" w14:textId="079E620A" w:rsidR="002F40DA" w:rsidRPr="00C943FD" w:rsidRDefault="00E12AC6" w:rsidP="002F40DA">
      <w:pPr>
        <w:pStyle w:val="listesimple"/>
        <w:rPr>
          <w:rFonts w:ascii="Open Sans" w:hAnsi="Open Sans" w:cs="Open Sans"/>
        </w:rPr>
      </w:pPr>
      <w:r w:rsidRPr="00C943FD">
        <w:rPr>
          <w:rFonts w:ascii="Open Sans" w:hAnsi="Open Sans" w:cs="Open Sans"/>
        </w:rPr>
        <w:t>L</w:t>
      </w:r>
      <w:r w:rsidR="002F40DA" w:rsidRPr="00C943FD">
        <w:rPr>
          <w:rFonts w:ascii="Open Sans" w:hAnsi="Open Sans" w:cs="Open Sans"/>
        </w:rPr>
        <w:t>e Titulaire respecte les procédures de mise en production et d’accès aux différents environnements techniques décrites dans le CCTP</w:t>
      </w:r>
      <w:r w:rsidRPr="00C943FD">
        <w:rPr>
          <w:rFonts w:ascii="Open Sans" w:hAnsi="Open Sans" w:cs="Open Sans"/>
        </w:rPr>
        <w:t>.</w:t>
      </w:r>
    </w:p>
    <w:p w14:paraId="0719CA69" w14:textId="3AD95778" w:rsidR="002F40DA" w:rsidRPr="00C943FD" w:rsidRDefault="00E12AC6" w:rsidP="002F40DA">
      <w:pPr>
        <w:pStyle w:val="listesimple"/>
        <w:rPr>
          <w:rFonts w:ascii="Open Sans" w:hAnsi="Open Sans" w:cs="Open Sans"/>
        </w:rPr>
      </w:pPr>
      <w:r w:rsidRPr="00C943FD">
        <w:rPr>
          <w:rFonts w:ascii="Open Sans" w:hAnsi="Open Sans" w:cs="Open Sans"/>
        </w:rPr>
        <w:t>L</w:t>
      </w:r>
      <w:r w:rsidR="002F40DA" w:rsidRPr="00C943FD">
        <w:rPr>
          <w:rFonts w:ascii="Open Sans" w:hAnsi="Open Sans" w:cs="Open Sans"/>
        </w:rPr>
        <w:t>e titulaire ne procède pas à des modifications d’anomalies directement dans l’environnement de production</w:t>
      </w:r>
      <w:r w:rsidRPr="00C943FD">
        <w:rPr>
          <w:rFonts w:ascii="Open Sans" w:hAnsi="Open Sans" w:cs="Open Sans"/>
        </w:rPr>
        <w:t>.</w:t>
      </w:r>
    </w:p>
    <w:p w14:paraId="0376C0D7" w14:textId="4774BADB" w:rsidR="002F40DA" w:rsidRPr="00C943FD" w:rsidRDefault="00E12AC6" w:rsidP="002F40DA">
      <w:pPr>
        <w:pStyle w:val="listesimple"/>
        <w:rPr>
          <w:rFonts w:ascii="Open Sans" w:hAnsi="Open Sans" w:cs="Open Sans"/>
        </w:rPr>
      </w:pPr>
      <w:r w:rsidRPr="00C943FD">
        <w:rPr>
          <w:rFonts w:ascii="Open Sans" w:hAnsi="Open Sans" w:cs="Open Sans"/>
        </w:rPr>
        <w:t>L</w:t>
      </w:r>
      <w:r w:rsidR="002F40DA" w:rsidRPr="00C943FD">
        <w:rPr>
          <w:rFonts w:ascii="Open Sans" w:hAnsi="Open Sans" w:cs="Open Sans"/>
        </w:rPr>
        <w:t>a qualité des prestations est mesurée selon les critères indiqués par l’AP-HP ou, le cas échéant, définis avec l’AP-HP</w:t>
      </w:r>
      <w:r w:rsidRPr="00C943FD">
        <w:rPr>
          <w:rFonts w:ascii="Open Sans" w:hAnsi="Open Sans" w:cs="Open Sans"/>
        </w:rPr>
        <w:t>.</w:t>
      </w:r>
    </w:p>
    <w:p w14:paraId="7DD0AF66" w14:textId="374AE784" w:rsidR="002F40DA" w:rsidRPr="00C943FD" w:rsidRDefault="00E12AC6" w:rsidP="002F40DA">
      <w:pPr>
        <w:pStyle w:val="listesimple"/>
        <w:rPr>
          <w:rFonts w:ascii="Open Sans" w:hAnsi="Open Sans" w:cs="Open Sans"/>
        </w:rPr>
      </w:pPr>
      <w:r w:rsidRPr="00C943FD">
        <w:rPr>
          <w:rFonts w:ascii="Open Sans" w:hAnsi="Open Sans" w:cs="Open Sans"/>
        </w:rPr>
        <w:t>L</w:t>
      </w:r>
      <w:r w:rsidR="002F40DA" w:rsidRPr="00C943FD">
        <w:rPr>
          <w:rFonts w:ascii="Open Sans" w:hAnsi="Open Sans" w:cs="Open Sans"/>
        </w:rPr>
        <w:t>es documents fournis doivent avoir un niveau de détail ou de synthèse adapté au public destinataire</w:t>
      </w:r>
      <w:r w:rsidRPr="00C943FD">
        <w:rPr>
          <w:rFonts w:ascii="Open Sans" w:hAnsi="Open Sans" w:cs="Open Sans"/>
        </w:rPr>
        <w:t>.</w:t>
      </w:r>
    </w:p>
    <w:p w14:paraId="49E5DE34" w14:textId="339E6964" w:rsidR="002F40DA" w:rsidRPr="00C943FD" w:rsidRDefault="00E12AC6" w:rsidP="002F40DA">
      <w:pPr>
        <w:pStyle w:val="listesimple"/>
        <w:rPr>
          <w:rFonts w:ascii="Open Sans" w:hAnsi="Open Sans" w:cs="Open Sans"/>
        </w:rPr>
      </w:pPr>
      <w:r w:rsidRPr="00C943FD">
        <w:rPr>
          <w:rFonts w:ascii="Open Sans" w:hAnsi="Open Sans" w:cs="Open Sans"/>
        </w:rPr>
        <w:t>L</w:t>
      </w:r>
      <w:r w:rsidR="002F40DA" w:rsidRPr="00C943FD">
        <w:rPr>
          <w:rFonts w:ascii="Open Sans" w:hAnsi="Open Sans" w:cs="Open Sans"/>
        </w:rPr>
        <w:t>es procédures de validation comportent des séances de présentation des livrables, permettant la bonne compréhension des livrables par les personnes chargées de leur validation</w:t>
      </w:r>
      <w:r w:rsidRPr="00C943FD">
        <w:rPr>
          <w:rFonts w:ascii="Open Sans" w:hAnsi="Open Sans" w:cs="Open Sans"/>
        </w:rPr>
        <w:t>.</w:t>
      </w:r>
    </w:p>
    <w:p w14:paraId="128A5E5D" w14:textId="66470466" w:rsidR="002F40DA" w:rsidRPr="00C943FD" w:rsidRDefault="00E12AC6" w:rsidP="00F21C53">
      <w:pPr>
        <w:pStyle w:val="Findeliste"/>
        <w:rPr>
          <w:rFonts w:ascii="Open Sans" w:hAnsi="Open Sans" w:cs="Open Sans"/>
        </w:rPr>
      </w:pPr>
      <w:r w:rsidRPr="00C943FD">
        <w:rPr>
          <w:rFonts w:ascii="Open Sans" w:hAnsi="Open Sans" w:cs="Open Sans"/>
        </w:rPr>
        <w:t>L</w:t>
      </w:r>
      <w:r w:rsidR="002F40DA" w:rsidRPr="00C943FD">
        <w:rPr>
          <w:rFonts w:ascii="Open Sans" w:hAnsi="Open Sans" w:cs="Open Sans"/>
        </w:rPr>
        <w:t>es livrables (documents, écrans, présentations …) sont rédigés en français.</w:t>
      </w:r>
    </w:p>
    <w:p w14:paraId="140E7C29" w14:textId="3D55E316" w:rsidR="00D02CB0" w:rsidRDefault="00F721B4" w:rsidP="00D02CB0">
      <w:pPr>
        <w:pStyle w:val="Titre2"/>
      </w:pPr>
      <w:bookmarkStart w:id="29" w:name="_Toc201153281"/>
      <w:r>
        <w:t>Phase de réversibilité</w:t>
      </w:r>
      <w:bookmarkEnd w:id="29"/>
    </w:p>
    <w:p w14:paraId="29C9324B" w14:textId="77777777" w:rsidR="002F40DA" w:rsidRPr="00B41C5D" w:rsidRDefault="002F40DA" w:rsidP="002F40DA">
      <w:pPr>
        <w:pStyle w:val="Corpsdetexte"/>
        <w:rPr>
          <w:rFonts w:cs="Open Sans"/>
        </w:rPr>
      </w:pPr>
      <w:r w:rsidRPr="00B41C5D">
        <w:rPr>
          <w:rFonts w:cs="Open Sans"/>
        </w:rPr>
        <w:t>Cette prestation se décline selon 2 étapes avec pour objectifs et livrables :</w:t>
      </w:r>
    </w:p>
    <w:p w14:paraId="269B41B0" w14:textId="77777777" w:rsidR="002F40DA" w:rsidRPr="00B41C5D" w:rsidRDefault="002F40DA" w:rsidP="002F40DA">
      <w:pPr>
        <w:pStyle w:val="ttedeliste"/>
        <w:rPr>
          <w:rFonts w:ascii="Open Sans" w:hAnsi="Open Sans" w:cs="Open Sans"/>
          <w:b/>
          <w:u w:val="single"/>
        </w:rPr>
      </w:pPr>
      <w:r w:rsidRPr="00B41C5D">
        <w:rPr>
          <w:rFonts w:ascii="Open Sans" w:hAnsi="Open Sans" w:cs="Open Sans"/>
          <w:b/>
          <w:u w:val="single"/>
        </w:rPr>
        <w:t>Étape 1 :</w:t>
      </w:r>
    </w:p>
    <w:p w14:paraId="2D33B9A2" w14:textId="2D936F13" w:rsidR="002F40DA" w:rsidRPr="00B41C5D" w:rsidRDefault="002F40DA" w:rsidP="002F40DA">
      <w:pPr>
        <w:pStyle w:val="listesimple"/>
        <w:rPr>
          <w:rFonts w:ascii="Open Sans" w:hAnsi="Open Sans" w:cs="Open Sans"/>
        </w:rPr>
      </w:pPr>
      <w:r w:rsidRPr="00B41C5D">
        <w:rPr>
          <w:rFonts w:ascii="Open Sans" w:hAnsi="Open Sans" w:cs="Open Sans"/>
        </w:rPr>
        <w:t xml:space="preserve">Fourniture à l’AP-HP et au futur Titulaire du contrat d’interface et </w:t>
      </w:r>
      <w:r w:rsidR="00C943FD" w:rsidRPr="00B41C5D">
        <w:rPr>
          <w:rFonts w:ascii="Open Sans" w:hAnsi="Open Sans" w:cs="Open Sans"/>
        </w:rPr>
        <w:t>du</w:t>
      </w:r>
      <w:r w:rsidRPr="00B41C5D">
        <w:rPr>
          <w:rFonts w:ascii="Open Sans" w:hAnsi="Open Sans" w:cs="Open Sans"/>
        </w:rPr>
        <w:t xml:space="preserve"> tableau des documents types,</w:t>
      </w:r>
    </w:p>
    <w:p w14:paraId="34653446" w14:textId="0C19091E" w:rsidR="002F40DA" w:rsidRPr="00B41C5D" w:rsidRDefault="002F40DA" w:rsidP="002F40DA">
      <w:pPr>
        <w:pStyle w:val="listesimple"/>
        <w:rPr>
          <w:rFonts w:ascii="Open Sans" w:hAnsi="Open Sans" w:cs="Open Sans"/>
        </w:rPr>
      </w:pPr>
      <w:r w:rsidRPr="00B41C5D">
        <w:rPr>
          <w:rFonts w:ascii="Open Sans" w:hAnsi="Open Sans" w:cs="Open Sans"/>
        </w:rPr>
        <w:t>Transmission à l’AP-HP et au futur Titulaire des procédures et instructions sur les méthodes et techniques utilisées.</w:t>
      </w:r>
    </w:p>
    <w:p w14:paraId="299332A7" w14:textId="77777777" w:rsidR="002F40DA" w:rsidRPr="00B41C5D" w:rsidRDefault="002F40DA" w:rsidP="002F40DA">
      <w:pPr>
        <w:pStyle w:val="ttedeliste"/>
        <w:rPr>
          <w:rFonts w:ascii="Open Sans" w:hAnsi="Open Sans" w:cs="Open Sans"/>
          <w:b/>
          <w:u w:val="single"/>
        </w:rPr>
      </w:pPr>
      <w:r w:rsidRPr="00B41C5D">
        <w:rPr>
          <w:rFonts w:ascii="Open Sans" w:hAnsi="Open Sans" w:cs="Open Sans"/>
          <w:b/>
          <w:u w:val="single"/>
        </w:rPr>
        <w:t>Étape 2 :</w:t>
      </w:r>
    </w:p>
    <w:p w14:paraId="0F0B069D" w14:textId="2FD9F222" w:rsidR="002F40DA" w:rsidRPr="00B41C5D" w:rsidRDefault="002F40DA" w:rsidP="00F21C53">
      <w:pPr>
        <w:pStyle w:val="Findeliste"/>
        <w:rPr>
          <w:rFonts w:ascii="Open Sans" w:hAnsi="Open Sans" w:cs="Open Sans"/>
        </w:rPr>
      </w:pPr>
      <w:r w:rsidRPr="00B41C5D">
        <w:rPr>
          <w:rFonts w:ascii="Open Sans" w:hAnsi="Open Sans" w:cs="Open Sans"/>
        </w:rPr>
        <w:t>Arrêt des prestations de service du présent marché en facilitant leur reprise en charge par l’AP</w:t>
      </w:r>
      <w:r w:rsidR="002C0FB0">
        <w:rPr>
          <w:rFonts w:ascii="Open Sans" w:hAnsi="Open Sans" w:cs="Open Sans"/>
        </w:rPr>
        <w:noBreakHyphen/>
      </w:r>
      <w:r w:rsidRPr="00B41C5D">
        <w:rPr>
          <w:rFonts w:ascii="Open Sans" w:hAnsi="Open Sans" w:cs="Open Sans"/>
        </w:rPr>
        <w:t>HP et le futur Titulaire.</w:t>
      </w:r>
    </w:p>
    <w:p w14:paraId="350975A0" w14:textId="77777777" w:rsidR="002F40DA" w:rsidRPr="00B41C5D" w:rsidRDefault="002F40DA" w:rsidP="002F40DA">
      <w:pPr>
        <w:pStyle w:val="ttedeliste"/>
        <w:rPr>
          <w:rFonts w:ascii="Open Sans" w:hAnsi="Open Sans" w:cs="Open Sans"/>
        </w:rPr>
      </w:pPr>
      <w:r w:rsidRPr="00B41C5D">
        <w:rPr>
          <w:rFonts w:ascii="Open Sans" w:hAnsi="Open Sans" w:cs="Open Sans"/>
        </w:rPr>
        <w:lastRenderedPageBreak/>
        <w:t>La prestation de réversibilité a lieu à la demande de l’AP</w:t>
      </w:r>
      <w:r w:rsidRPr="00B41C5D">
        <w:rPr>
          <w:rFonts w:ascii="Open Sans" w:hAnsi="Open Sans" w:cs="Open Sans"/>
        </w:rPr>
        <w:noBreakHyphen/>
        <w:t>HP, en fin de marché, quelle qu’en soit la raison. Sa durée est adaptée à la phase d’initialisation prévue pour la reprise future, par l’AP-HP ou un tiers désigné, sans qu’elle puisse excéder :</w:t>
      </w:r>
    </w:p>
    <w:p w14:paraId="46F244A1" w14:textId="77777777" w:rsidR="002F40DA" w:rsidRPr="00B41C5D" w:rsidRDefault="002F40DA" w:rsidP="002F40DA">
      <w:pPr>
        <w:pStyle w:val="listesimple"/>
        <w:rPr>
          <w:rFonts w:ascii="Open Sans" w:hAnsi="Open Sans" w:cs="Open Sans"/>
        </w:rPr>
      </w:pPr>
      <w:r w:rsidRPr="00B41C5D">
        <w:rPr>
          <w:rFonts w:ascii="Open Sans" w:hAnsi="Open Sans" w:cs="Open Sans"/>
        </w:rPr>
        <w:t>2 semaines ouvrées pour l’étape 1</w:t>
      </w:r>
    </w:p>
    <w:p w14:paraId="573FB598" w14:textId="77777777" w:rsidR="002F40DA" w:rsidRPr="00B41C5D" w:rsidRDefault="002F40DA" w:rsidP="00F21C53">
      <w:pPr>
        <w:pStyle w:val="Findeliste"/>
        <w:rPr>
          <w:rFonts w:ascii="Open Sans" w:hAnsi="Open Sans" w:cs="Open Sans"/>
        </w:rPr>
      </w:pPr>
      <w:r w:rsidRPr="00B41C5D">
        <w:rPr>
          <w:rFonts w:ascii="Open Sans" w:hAnsi="Open Sans" w:cs="Open Sans"/>
        </w:rPr>
        <w:t>3 mois pour l’ensemble de la phase.</w:t>
      </w:r>
    </w:p>
    <w:p w14:paraId="422671A5" w14:textId="77777777" w:rsidR="002F40DA" w:rsidRPr="00B41C5D" w:rsidRDefault="002F40DA" w:rsidP="002F40DA">
      <w:pPr>
        <w:pStyle w:val="Corpsdetexte"/>
        <w:rPr>
          <w:rFonts w:cs="Open Sans"/>
        </w:rPr>
      </w:pPr>
      <w:r w:rsidRPr="00B41C5D">
        <w:rPr>
          <w:rFonts w:cs="Open Sans"/>
        </w:rPr>
        <w:t>Cette prestation fait l’objet d’une validation par l’AP-HP de chacune de ces 2 étapes, obligatoires pour valider la dernière période de services éditiques du présent marché.</w:t>
      </w:r>
    </w:p>
    <w:p w14:paraId="29C3A6E9" w14:textId="77777777" w:rsidR="002F40DA" w:rsidRPr="00B41C5D" w:rsidRDefault="002F40DA" w:rsidP="002F40DA">
      <w:pPr>
        <w:pStyle w:val="Corpsdetexte"/>
        <w:rPr>
          <w:rFonts w:cs="Open Sans"/>
        </w:rPr>
      </w:pPr>
      <w:r w:rsidRPr="00B41C5D">
        <w:rPr>
          <w:rFonts w:cs="Open Sans"/>
        </w:rPr>
        <w:t>Cette prestation ne fait l’objet d’aucune facturation. Son coût est ventilé au choix du Titulaire sur les autres prestations du marché faisant l’objet d’un prix.</w:t>
      </w:r>
    </w:p>
    <w:p w14:paraId="51E70811" w14:textId="77777777" w:rsidR="002F40DA" w:rsidRPr="00B41C5D" w:rsidRDefault="002F40DA" w:rsidP="002F40DA">
      <w:pPr>
        <w:pStyle w:val="Corpsdetexte"/>
        <w:rPr>
          <w:rFonts w:cs="Open Sans"/>
        </w:rPr>
      </w:pPr>
      <w:r w:rsidRPr="00B41C5D">
        <w:rPr>
          <w:rFonts w:cs="Open Sans"/>
        </w:rPr>
        <w:t>Cette prestation peut faire l’objet de pénalités en cas de retard imputable au Titulaire.</w:t>
      </w:r>
    </w:p>
    <w:p w14:paraId="000497AC" w14:textId="31E95335" w:rsidR="00D02CB0" w:rsidRDefault="00F721B4" w:rsidP="00D02CB0">
      <w:pPr>
        <w:pStyle w:val="Titre2"/>
      </w:pPr>
      <w:bookmarkStart w:id="30" w:name="_Toc201153282"/>
      <w:r>
        <w:t>Unités d’œuvres et fournitures</w:t>
      </w:r>
      <w:bookmarkEnd w:id="30"/>
    </w:p>
    <w:p w14:paraId="1C62F5CD" w14:textId="5E5A6318" w:rsidR="00CC64B6" w:rsidRDefault="00CC64B6" w:rsidP="00E12AC6">
      <w:pPr>
        <w:pStyle w:val="Corpsdetexte"/>
        <w:ind w:left="284" w:hanging="284"/>
        <w:jc w:val="left"/>
      </w:pPr>
      <w:r>
        <w:t>L’offre comporte plusieurs familles d’unités d’œuvres (UO) et de fournitures :</w:t>
      </w:r>
      <w:r w:rsidR="00E12AC6">
        <w:br/>
        <w:t xml:space="preserve">- </w:t>
      </w:r>
      <w:r>
        <w:t>prestation de service de création ou d’évolution de filière,</w:t>
      </w:r>
      <w:r w:rsidR="00E12AC6">
        <w:br/>
        <w:t xml:space="preserve">- </w:t>
      </w:r>
      <w:r>
        <w:t>impression,</w:t>
      </w:r>
      <w:r w:rsidR="00E12AC6">
        <w:br/>
        <w:t xml:space="preserve">- </w:t>
      </w:r>
      <w:r>
        <w:t>mise sous pli,</w:t>
      </w:r>
      <w:r w:rsidR="00E12AC6">
        <w:br/>
        <w:t xml:space="preserve">- </w:t>
      </w:r>
      <w:r>
        <w:t>opération d'affranchissement,</w:t>
      </w:r>
      <w:r w:rsidR="00E12AC6">
        <w:br/>
      </w:r>
      <w:r w:rsidR="00E12AC6" w:rsidRPr="009B610D">
        <w:t xml:space="preserve">- </w:t>
      </w:r>
      <w:r w:rsidRPr="009B610D">
        <w:t xml:space="preserve">livraison de colis (dans le cas de </w:t>
      </w:r>
      <w:proofErr w:type="spellStart"/>
      <w:r w:rsidRPr="009B610D">
        <w:t>BATs</w:t>
      </w:r>
      <w:proofErr w:type="spellEnd"/>
      <w:r w:rsidRPr="009B610D">
        <w:t xml:space="preserve"> physiques),</w:t>
      </w:r>
      <w:r w:rsidR="00E12AC6" w:rsidRPr="00E12AC6">
        <w:br/>
        <w:t xml:space="preserve">- </w:t>
      </w:r>
      <w:r>
        <w:t>courrier recommandé,</w:t>
      </w:r>
      <w:r w:rsidR="00E12AC6">
        <w:br/>
        <w:t xml:space="preserve">- </w:t>
      </w:r>
      <w:r>
        <w:t>fourniture d'enveloppes et papiers,</w:t>
      </w:r>
      <w:r w:rsidR="00E12AC6">
        <w:br/>
        <w:t xml:space="preserve">- </w:t>
      </w:r>
      <w:r>
        <w:t>pli non distribué,</w:t>
      </w:r>
      <w:r w:rsidR="00E12AC6">
        <w:br/>
        <w:t xml:space="preserve">- </w:t>
      </w:r>
      <w:r>
        <w:t>affranchissement étranger.</w:t>
      </w:r>
    </w:p>
    <w:p w14:paraId="6DB0A7D0" w14:textId="41EABBEF" w:rsidR="00D02CB0" w:rsidRDefault="00D02CB0" w:rsidP="00D02CB0">
      <w:pPr>
        <w:pStyle w:val="Titre3"/>
      </w:pPr>
      <w:bookmarkStart w:id="31" w:name="_Toc201153283"/>
      <w:r>
        <w:t>E</w:t>
      </w:r>
      <w:r w:rsidR="00F721B4">
        <w:t>volution ou création de filière</w:t>
      </w:r>
      <w:bookmarkEnd w:id="31"/>
    </w:p>
    <w:p w14:paraId="4AA76B23" w14:textId="4B8E6CF9" w:rsidR="00CC64B6" w:rsidRDefault="00CC64B6" w:rsidP="00CC64B6">
      <w:pPr>
        <w:pStyle w:val="Corpsdetexte"/>
      </w:pPr>
      <w:r>
        <w:t xml:space="preserve">Les évolutions prévues sont classées en trois unités d’œuvres figurant dans le BPU. Ce qui détermine le choix de </w:t>
      </w:r>
      <w:r w:rsidR="00B025DA">
        <w:t>l’</w:t>
      </w:r>
      <w:r>
        <w:t>unité d’œuvre à commander est la présence de la prestation prévue dans les cas listés de l’UO.</w:t>
      </w:r>
    </w:p>
    <w:p w14:paraId="13C5FB01" w14:textId="77777777" w:rsidR="00CC64B6" w:rsidRDefault="00CC64B6" w:rsidP="00CC64B6">
      <w:pPr>
        <w:pStyle w:val="Corpsdetexte"/>
      </w:pPr>
      <w:r>
        <w:t xml:space="preserve">Les créations prévues sont simples ou complexes, selon que le </w:t>
      </w:r>
      <w:r w:rsidRPr="00EF7705">
        <w:t xml:space="preserve">traitement et </w:t>
      </w:r>
      <w:r>
        <w:t xml:space="preserve">le </w:t>
      </w:r>
      <w:r w:rsidRPr="00EF7705">
        <w:t xml:space="preserve">reporting </w:t>
      </w:r>
      <w:r>
        <w:t xml:space="preserve">sont </w:t>
      </w:r>
      <w:r w:rsidRPr="00EF7705">
        <w:t>différents</w:t>
      </w:r>
      <w:r>
        <w:t>.</w:t>
      </w:r>
    </w:p>
    <w:p w14:paraId="3E62EA58" w14:textId="4588F628" w:rsidR="00D02CB0" w:rsidRDefault="00F721B4" w:rsidP="00D02CB0">
      <w:pPr>
        <w:pStyle w:val="Titre3"/>
      </w:pPr>
      <w:bookmarkStart w:id="32" w:name="_Toc201153284"/>
      <w:r>
        <w:t>Impression</w:t>
      </w:r>
      <w:bookmarkEnd w:id="32"/>
    </w:p>
    <w:p w14:paraId="320314F7" w14:textId="77777777" w:rsidR="00CC64B6" w:rsidRDefault="00CC64B6" w:rsidP="00CC64B6">
      <w:pPr>
        <w:pStyle w:val="Corpsdetexte"/>
      </w:pPr>
      <w:r>
        <w:t>La gestion d’un nombre important de lots venant de tous les hôpitaux nécessite de piloter de manière précise les tâches d’impression.</w:t>
      </w:r>
    </w:p>
    <w:p w14:paraId="3B480878" w14:textId="77777777" w:rsidR="00CC64B6" w:rsidRDefault="00CC64B6" w:rsidP="00CC64B6">
      <w:pPr>
        <w:pStyle w:val="Corpsdetexte"/>
      </w:pPr>
      <w:r>
        <w:t>Pour cela, l’AP</w:t>
      </w:r>
      <w:r>
        <w:noBreakHyphen/>
        <w:t xml:space="preserve">HP envoie l’ensemble de ces lots de plis vers la structure d’accueil éditique du prestataire. </w:t>
      </w:r>
    </w:p>
    <w:p w14:paraId="5579BB09" w14:textId="77777777" w:rsidR="00CC64B6" w:rsidRDefault="00CC64B6" w:rsidP="00CC64B6">
      <w:pPr>
        <w:pStyle w:val="Corpsdetexte"/>
      </w:pPr>
      <w:r>
        <w:t>Les moyens mis en œuvre pour l’impression permettent d’assurer la qualité et l’intégrité des plis.</w:t>
      </w:r>
    </w:p>
    <w:p w14:paraId="3A092123" w14:textId="77777777" w:rsidR="00CC64B6" w:rsidRDefault="00CC64B6" w:rsidP="00CC64B6">
      <w:pPr>
        <w:pStyle w:val="Corpsdetexte"/>
      </w:pPr>
      <w:r>
        <w:t>L’AP-HP s’attend à bénéficier d’impression de bonne qualité de rendu, sans déformation, ni déchirure, dans tous les formats demandés (A3, A4…), sur du papier de grammages spécifiques par filière d’impression</w:t>
      </w:r>
      <w:r w:rsidRPr="0071221C">
        <w:t xml:space="preserve"> </w:t>
      </w:r>
      <w:r>
        <w:t>(en général de 80 g/m2, il y a actuellement une filière de factures nécessitant d’utiliser un grammage de 90g/m2), en mode recto ou recto/verso, en quadrichromie ou noir et blanc, dans un délai compatible avec le délai global de remise en poste.</w:t>
      </w:r>
    </w:p>
    <w:p w14:paraId="0B48FF87" w14:textId="77777777" w:rsidR="00CC64B6" w:rsidRPr="006F5024" w:rsidRDefault="00CC64B6" w:rsidP="00CC64B6">
      <w:pPr>
        <w:pStyle w:val="Corpsdetexte"/>
      </w:pPr>
      <w:r>
        <w:t xml:space="preserve">Toutes les impressions sont réalisées sur du papier vierge, recyclable ou recyclé </w:t>
      </w:r>
      <w:r w:rsidRPr="007F1143">
        <w:rPr>
          <w:u w:val="single"/>
        </w:rPr>
        <w:t>en fonction de la demande de l’AP-HP</w:t>
      </w:r>
      <w:r>
        <w:t xml:space="preserve">, non pré-imprimé. Le coût de ces impressions inclut toutes les fournitures nécessaires les plus usuelles, à savoir : du papier blanc vierge de pré-impression d’un poids de 80g/m2 ou 90g/m2, et l’encre utilisée, non toxique, que ce soit en N&amp;B ou en </w:t>
      </w:r>
      <w:r w:rsidRPr="006F5024">
        <w:t>quadrichromie, en recto ou en recto-verso.</w:t>
      </w:r>
    </w:p>
    <w:p w14:paraId="0A7FA048" w14:textId="77777777" w:rsidR="00CC64B6" w:rsidRPr="00D6657B" w:rsidRDefault="00CC64B6" w:rsidP="00CC64B6">
      <w:pPr>
        <w:pStyle w:val="Corpsdetexte"/>
      </w:pPr>
      <w:r w:rsidRPr="006F5024">
        <w:t xml:space="preserve">A noter que l’impression des bannières, destinée à l’étiquetage </w:t>
      </w:r>
      <w:r>
        <w:t xml:space="preserve">par le Titulaire </w:t>
      </w:r>
      <w:r w:rsidRPr="006F5024">
        <w:t xml:space="preserve">des cartons pour </w:t>
      </w:r>
      <w:r>
        <w:t>l</w:t>
      </w:r>
      <w:r w:rsidRPr="006F5024">
        <w:t>es bulletins de salaires, est a priori une page recto N&amp;B sur papier de format inférieur ou égal à A4.</w:t>
      </w:r>
    </w:p>
    <w:p w14:paraId="4E881CC3" w14:textId="7D5E69DA" w:rsidR="00D02CB0" w:rsidRDefault="00F721B4" w:rsidP="00D02CB0">
      <w:pPr>
        <w:pStyle w:val="Titre3"/>
      </w:pPr>
      <w:bookmarkStart w:id="33" w:name="_Toc201153285"/>
      <w:r>
        <w:lastRenderedPageBreak/>
        <w:t>Mise sous pli</w:t>
      </w:r>
      <w:bookmarkEnd w:id="33"/>
    </w:p>
    <w:p w14:paraId="6975D674" w14:textId="77777777" w:rsidR="00CC64B6" w:rsidRDefault="00CC64B6" w:rsidP="00CC64B6">
      <w:pPr>
        <w:pStyle w:val="Corpsdetexte"/>
      </w:pPr>
      <w:r>
        <w:t xml:space="preserve">La mise sous pli assure le façonnage, le pliage du papier, et l’insertion des feuillets du pli dans l’enveloppe adéquate sélectionnée. Le prestataire doit être équipé de tous les systèmes nécessaires pour assurer de manière automatique la traçabilité et la génération des événements statistiques de production. Aucune restitution d’information déclarative n’est autorisée. </w:t>
      </w:r>
    </w:p>
    <w:p w14:paraId="68B1169A" w14:textId="77777777" w:rsidR="00CC64B6" w:rsidRDefault="00CC64B6" w:rsidP="00CC64B6">
      <w:pPr>
        <w:pStyle w:val="Corpsdetexte"/>
      </w:pPr>
      <w:r>
        <w:t>L’opération de mise sous pli comprend l’insertion d’un premier feuillet.</w:t>
      </w:r>
    </w:p>
    <w:p w14:paraId="6CBCF273" w14:textId="77777777" w:rsidR="00CC64B6" w:rsidRDefault="00CC64B6" w:rsidP="00CC64B6">
      <w:pPr>
        <w:pStyle w:val="Corpsdetexte"/>
      </w:pPr>
      <w:r>
        <w:t>Les formats enveloppes porteuses correspondent aux formats usuels DL, C4, C5.</w:t>
      </w:r>
    </w:p>
    <w:p w14:paraId="27AE242F" w14:textId="77777777" w:rsidR="00CC64B6" w:rsidRPr="00B41C5D" w:rsidRDefault="00CC64B6" w:rsidP="00CC64B6">
      <w:pPr>
        <w:pStyle w:val="Corpsdetexte"/>
        <w:rPr>
          <w:rFonts w:cs="Open Sans"/>
        </w:rPr>
      </w:pPr>
      <w:r>
        <w:t xml:space="preserve">Le grammage du papier pris en charge pour la mise sous pli est de 80 ou 90 g/m2. L’utilisation d’autres </w:t>
      </w:r>
      <w:r w:rsidRPr="00B41C5D">
        <w:rPr>
          <w:rFonts w:cs="Open Sans"/>
        </w:rPr>
        <w:t xml:space="preserve">grammages est exceptionnelle. </w:t>
      </w:r>
    </w:p>
    <w:p w14:paraId="5EAEE308" w14:textId="77777777" w:rsidR="00CC64B6" w:rsidRPr="00B41C5D" w:rsidRDefault="00CC64B6" w:rsidP="00CC64B6">
      <w:pPr>
        <w:pStyle w:val="Corpsdetexte"/>
        <w:rPr>
          <w:rFonts w:cs="Open Sans"/>
        </w:rPr>
      </w:pPr>
      <w:r w:rsidRPr="00B41C5D">
        <w:rPr>
          <w:rFonts w:cs="Open Sans"/>
        </w:rPr>
        <w:t xml:space="preserve">Les moyens mis en œuvre pour la mise sous pli permettent d’assurer la qualité et l’intégrité des documents traités. </w:t>
      </w:r>
    </w:p>
    <w:p w14:paraId="7648A071" w14:textId="77777777" w:rsidR="00CC64B6" w:rsidRPr="00B41C5D" w:rsidRDefault="00CC64B6" w:rsidP="00CC64B6">
      <w:pPr>
        <w:pStyle w:val="ttedeliste"/>
        <w:rPr>
          <w:rFonts w:ascii="Open Sans" w:hAnsi="Open Sans" w:cs="Open Sans"/>
        </w:rPr>
      </w:pPr>
      <w:r w:rsidRPr="00B41C5D">
        <w:rPr>
          <w:rFonts w:ascii="Open Sans" w:hAnsi="Open Sans" w:cs="Open Sans"/>
        </w:rPr>
        <w:t>Concernant les enveloppes, leur poids est dépendant du format :</w:t>
      </w:r>
    </w:p>
    <w:p w14:paraId="5B3FF687" w14:textId="77777777" w:rsidR="00CC64B6" w:rsidRPr="00B41C5D" w:rsidRDefault="00CC64B6" w:rsidP="00CC64B6">
      <w:pPr>
        <w:pStyle w:val="listesimple"/>
        <w:rPr>
          <w:rFonts w:ascii="Open Sans" w:hAnsi="Open Sans" w:cs="Open Sans"/>
        </w:rPr>
      </w:pPr>
      <w:r w:rsidRPr="00B41C5D">
        <w:rPr>
          <w:rFonts w:ascii="Open Sans" w:hAnsi="Open Sans" w:cs="Open Sans"/>
        </w:rPr>
        <w:t>Enveloppe DL : 5 Grammes</w:t>
      </w:r>
    </w:p>
    <w:p w14:paraId="3FE16D0A" w14:textId="77777777" w:rsidR="00CC64B6" w:rsidRPr="00B41C5D" w:rsidRDefault="00CC64B6" w:rsidP="00CC64B6">
      <w:pPr>
        <w:pStyle w:val="listesimple"/>
        <w:rPr>
          <w:rFonts w:ascii="Open Sans" w:hAnsi="Open Sans" w:cs="Open Sans"/>
        </w:rPr>
      </w:pPr>
      <w:r w:rsidRPr="00B41C5D">
        <w:rPr>
          <w:rFonts w:ascii="Open Sans" w:hAnsi="Open Sans" w:cs="Open Sans"/>
        </w:rPr>
        <w:t>Enveloppe C5 : 7 grammes</w:t>
      </w:r>
    </w:p>
    <w:p w14:paraId="4620E3DC" w14:textId="77777777" w:rsidR="00CC64B6" w:rsidRPr="00B41C5D" w:rsidRDefault="00CC64B6" w:rsidP="00F21C53">
      <w:pPr>
        <w:pStyle w:val="Findeliste"/>
        <w:rPr>
          <w:rFonts w:ascii="Open Sans" w:hAnsi="Open Sans" w:cs="Open Sans"/>
        </w:rPr>
      </w:pPr>
      <w:r w:rsidRPr="00B41C5D">
        <w:rPr>
          <w:rFonts w:ascii="Open Sans" w:hAnsi="Open Sans" w:cs="Open Sans"/>
        </w:rPr>
        <w:t>Enveloppe C4 : 14 grammes</w:t>
      </w:r>
    </w:p>
    <w:p w14:paraId="76D256D8" w14:textId="77777777" w:rsidR="00CC64B6" w:rsidRPr="00B41C5D" w:rsidRDefault="00CC64B6" w:rsidP="00CC64B6">
      <w:pPr>
        <w:pStyle w:val="Corpsdetexte"/>
        <w:rPr>
          <w:rFonts w:cs="Open Sans"/>
          <w:b/>
          <w:u w:val="single"/>
        </w:rPr>
      </w:pPr>
      <w:r w:rsidRPr="00B41C5D">
        <w:rPr>
          <w:rFonts w:cs="Open Sans"/>
          <w:b/>
          <w:u w:val="single"/>
        </w:rPr>
        <w:t>Encart</w:t>
      </w:r>
    </w:p>
    <w:p w14:paraId="7E5A9A32" w14:textId="2EA9AE54" w:rsidR="00CC64B6" w:rsidRDefault="00CC64B6" w:rsidP="00CC64B6">
      <w:pPr>
        <w:pStyle w:val="Corpsdetexte"/>
      </w:pPr>
      <w:r>
        <w:t>Il n’</w:t>
      </w:r>
      <w:r w:rsidR="009F6D9D">
        <w:t xml:space="preserve">y </w:t>
      </w:r>
      <w:r>
        <w:t>a pour le moment aucune production de l’AP</w:t>
      </w:r>
      <w:r w:rsidR="009F6D9D">
        <w:t>-</w:t>
      </w:r>
      <w:r>
        <w:t>HP nécessitant d’insérer des encarts au niveau de la mise sous pli et mise sous enveloppe.</w:t>
      </w:r>
    </w:p>
    <w:p w14:paraId="74DA6892" w14:textId="77777777" w:rsidR="00CC64B6" w:rsidRDefault="00CC64B6" w:rsidP="00CC64B6">
      <w:pPr>
        <w:pStyle w:val="Corpsdetexte"/>
      </w:pPr>
      <w:r>
        <w:t>S’il s’avérait en cours de marché qu’il faille mettre en place ce type de production, les encarts seraient livrés pliés par un imprimeur dans les locaux du titulaire.</w:t>
      </w:r>
    </w:p>
    <w:p w14:paraId="79EAA558" w14:textId="77777777" w:rsidR="00CC64B6" w:rsidRDefault="00CC64B6" w:rsidP="00CC64B6">
      <w:pPr>
        <w:pStyle w:val="Corpsdetexte"/>
      </w:pPr>
      <w:r>
        <w:t>Le document ou l’encart devant être envoyés à un destinataire ne doit JAMAIS se retrouver dans l’enveloppe d’un autre. La qualité de la production est capitale et engage l’image de l’AP-HP. Dans cette hypothèse, les contrôles automatisés d’intégralité et d’intégrité des documents mis sous plis sont un impératif.</w:t>
      </w:r>
    </w:p>
    <w:p w14:paraId="152EDB4E" w14:textId="3C0B272E" w:rsidR="00D02CB0" w:rsidRDefault="00F721B4" w:rsidP="00D02CB0">
      <w:pPr>
        <w:pStyle w:val="Titre3"/>
      </w:pPr>
      <w:bookmarkStart w:id="34" w:name="_Toc201153286"/>
      <w:r>
        <w:t>Opération d'affranchissement</w:t>
      </w:r>
      <w:bookmarkEnd w:id="34"/>
    </w:p>
    <w:p w14:paraId="53FF8128" w14:textId="77777777" w:rsidR="00CC64B6" w:rsidRPr="00D6657B" w:rsidRDefault="00CC64B6" w:rsidP="00CC64B6">
      <w:pPr>
        <w:pStyle w:val="Corpsdetexte"/>
      </w:pPr>
      <w:r>
        <w:t>Le coût de l</w:t>
      </w:r>
      <w:r w:rsidRPr="003A15AF">
        <w:t xml:space="preserve">’opération d’affranchissement comporte le fait d’affranchir au nom de l'AP-HP, </w:t>
      </w:r>
      <w:r>
        <w:t xml:space="preserve">de </w:t>
      </w:r>
      <w:r w:rsidRPr="003A15AF">
        <w:t>disposer les plis dans les contenants et de les remettre à LA POSTE</w:t>
      </w:r>
      <w:r>
        <w:t>.</w:t>
      </w:r>
    </w:p>
    <w:p w14:paraId="0C0AB1DA" w14:textId="77777777" w:rsidR="00CC64B6" w:rsidRDefault="00CC64B6" w:rsidP="00CC64B6">
      <w:pPr>
        <w:pStyle w:val="Corpsdetexte"/>
      </w:pPr>
      <w:r>
        <w:t>Le prestataire éditique doit être en mesure de prendre en compte la tarification et les exigences propres au routeur postal (bordereaux, é</w:t>
      </w:r>
      <w:r w:rsidRPr="00F779A1">
        <w:t>tiquetage conforme au courrier industriel de L</w:t>
      </w:r>
      <w:r>
        <w:t>a</w:t>
      </w:r>
      <w:r w:rsidRPr="00F779A1">
        <w:t xml:space="preserve"> P</w:t>
      </w:r>
      <w:r>
        <w:t>oste, gestion des caissettes…).</w:t>
      </w:r>
    </w:p>
    <w:p w14:paraId="1155B544" w14:textId="77777777" w:rsidR="00CC64B6" w:rsidRDefault="00CC64B6" w:rsidP="00CC64B6">
      <w:pPr>
        <w:pStyle w:val="Corpsdetexte"/>
      </w:pPr>
      <w:r w:rsidRPr="009C7FE7">
        <w:rPr>
          <w:b/>
        </w:rPr>
        <w:t>Le coût de l’Affranchissement (coût du « Timbre ») est à la charge de l’AP-HP</w:t>
      </w:r>
      <w:r>
        <w:t>, directement facturé par LA POSTE.</w:t>
      </w:r>
    </w:p>
    <w:p w14:paraId="465F44ED" w14:textId="77777777" w:rsidR="00CC64B6" w:rsidRPr="008474A2" w:rsidRDefault="00CC64B6" w:rsidP="00CC64B6">
      <w:pPr>
        <w:pStyle w:val="Corpsdetexte"/>
        <w:rPr>
          <w:b/>
          <w:u w:val="single"/>
        </w:rPr>
      </w:pPr>
      <w:r w:rsidRPr="008474A2">
        <w:rPr>
          <w:b/>
          <w:u w:val="single"/>
        </w:rPr>
        <w:t>Remise en Poste :</w:t>
      </w:r>
    </w:p>
    <w:p w14:paraId="4FE40FEA" w14:textId="18D19E86" w:rsidR="00CC64B6" w:rsidRDefault="00CC64B6" w:rsidP="00CC64B6">
      <w:pPr>
        <w:pStyle w:val="Corpsdetexte"/>
      </w:pPr>
      <w:r>
        <w:t xml:space="preserve">La remise en poste s’effectue sur le site du Centre de services éditiques du titulaire. Le titulaire fait en sorte </w:t>
      </w:r>
      <w:r w:rsidRPr="008474A2">
        <w:rPr>
          <w:b/>
        </w:rPr>
        <w:t>que l’ensemble des plis soient affranchis au tarif industriel, le plus bas offert par LA POSTE</w:t>
      </w:r>
      <w:r>
        <w:t>. Afin de bénéficier des meilleurs tarifs postaux, l’AP</w:t>
      </w:r>
      <w:r w:rsidR="009F6D9D">
        <w:t>-</w:t>
      </w:r>
      <w:r>
        <w:t>HP souhaite un seul dépôt postal quotidien à LA POSTE par le prestataire éditique.</w:t>
      </w:r>
    </w:p>
    <w:p w14:paraId="7B435959" w14:textId="77777777" w:rsidR="00CC64B6" w:rsidRDefault="00CC64B6" w:rsidP="00CC64B6">
      <w:pPr>
        <w:pStyle w:val="Corpsdetexte"/>
      </w:pPr>
      <w:r>
        <w:t>La remise en poste dans les délais demeure un service crucial pour l’AP-HP. Les délais attendus sont indiqués plus loin dans le paragraphe relatif à la performance.</w:t>
      </w:r>
    </w:p>
    <w:p w14:paraId="61C7A743" w14:textId="77777777" w:rsidR="00CC64B6" w:rsidRDefault="00CC64B6" w:rsidP="00CC64B6">
      <w:pPr>
        <w:pStyle w:val="Corpsdetexte"/>
      </w:pPr>
      <w:r w:rsidRPr="0056070D">
        <w:t>Le coût des engagements que prend le titulaire avec LA POSTE est inclus dans les prix qu’il propose pour ces prestations. L’AP-HP ne prend pas d’engagement avec La Poste pour le compte du Titulaire.</w:t>
      </w:r>
    </w:p>
    <w:p w14:paraId="7D1D5138" w14:textId="59FD2D29" w:rsidR="00D02CB0" w:rsidRDefault="00F721B4" w:rsidP="00D02CB0">
      <w:pPr>
        <w:pStyle w:val="Titre3"/>
      </w:pPr>
      <w:bookmarkStart w:id="35" w:name="_Toc201153287"/>
      <w:r>
        <w:lastRenderedPageBreak/>
        <w:t>Livraison ponctuelle de colis</w:t>
      </w:r>
      <w:bookmarkEnd w:id="35"/>
    </w:p>
    <w:p w14:paraId="55E45133" w14:textId="77777777" w:rsidR="00CC64B6" w:rsidRDefault="00CC64B6" w:rsidP="00CC64B6">
      <w:pPr>
        <w:pStyle w:val="Corpsdetexte"/>
      </w:pPr>
      <w:r>
        <w:t xml:space="preserve">La livraison ponctuelle de colis est prévue pour un colis ne dépassant pas 3 kg, dans l’un des sites AP-HP en Île-de-France. </w:t>
      </w:r>
    </w:p>
    <w:p w14:paraId="330BEFF0" w14:textId="77777777" w:rsidR="00CC64B6" w:rsidRDefault="00CC64B6" w:rsidP="00CC64B6">
      <w:pPr>
        <w:pStyle w:val="Corpsdetexte"/>
      </w:pPr>
      <w:r>
        <w:t xml:space="preserve">Il s’agit typiquement des </w:t>
      </w:r>
      <w:r w:rsidRPr="002F4506">
        <w:t xml:space="preserve">tirages de tests </w:t>
      </w:r>
      <w:r>
        <w:t xml:space="preserve">que le titulaire retourne </w:t>
      </w:r>
      <w:r w:rsidRPr="002F4506">
        <w:t>par coursier</w:t>
      </w:r>
      <w:r>
        <w:t xml:space="preserve">. </w:t>
      </w:r>
    </w:p>
    <w:p w14:paraId="6C009EEE" w14:textId="77777777" w:rsidR="00CC64B6" w:rsidRDefault="00CC64B6" w:rsidP="00CC64B6">
      <w:pPr>
        <w:pStyle w:val="Corpsdetexte"/>
      </w:pPr>
      <w:r>
        <w:t>La prestation comprend le colisage, l’emballage et la remise sur site.</w:t>
      </w:r>
    </w:p>
    <w:p w14:paraId="150AC74B" w14:textId="682EF42E" w:rsidR="00D02CB0" w:rsidRDefault="00F721B4" w:rsidP="00D02CB0">
      <w:pPr>
        <w:pStyle w:val="Titre3"/>
      </w:pPr>
      <w:bookmarkStart w:id="36" w:name="_Toc201153288"/>
      <w:r>
        <w:t>Courrier recommandé</w:t>
      </w:r>
      <w:bookmarkEnd w:id="36"/>
    </w:p>
    <w:p w14:paraId="3BE70ACF" w14:textId="77777777" w:rsidR="00CC64B6" w:rsidRDefault="00CC64B6" w:rsidP="00CC64B6">
      <w:pPr>
        <w:pStyle w:val="Corpsdetexte"/>
      </w:pPr>
      <w:r>
        <w:t>Le traitement d’un recommandé comporte le fait d’affranchir au nom de l'AP-HP, de disposer les plis dans les contenants et de les remettre à LA POSTE et de retourner à l’AP-HP la preuve électronique de dépôt poste.</w:t>
      </w:r>
    </w:p>
    <w:p w14:paraId="2996828A" w14:textId="77777777" w:rsidR="00CC64B6" w:rsidRPr="009C7FE7" w:rsidRDefault="00CC64B6" w:rsidP="00CC64B6">
      <w:pPr>
        <w:pStyle w:val="Corpsdetexte"/>
        <w:keepNext/>
        <w:rPr>
          <w:b/>
          <w:u w:val="single"/>
        </w:rPr>
      </w:pPr>
      <w:r w:rsidRPr="009C7FE7">
        <w:rPr>
          <w:b/>
          <w:u w:val="single"/>
        </w:rPr>
        <w:t>Lettres Recommand</w:t>
      </w:r>
      <w:r>
        <w:rPr>
          <w:b/>
          <w:u w:val="single"/>
        </w:rPr>
        <w:t>ées</w:t>
      </w:r>
    </w:p>
    <w:p w14:paraId="0E1AABB9" w14:textId="77777777" w:rsidR="00CC64B6" w:rsidRDefault="00CC64B6" w:rsidP="00CC64B6">
      <w:pPr>
        <w:pStyle w:val="Corpsdetexte"/>
      </w:pPr>
      <w:r>
        <w:t>Le Titulaire doit être en capacité de traiter l’affranchissement des courriers qui lui seront envoyés comme devant être émis en recommandé avec ou sans accusé de réception. Le Service courriers recommandés fait l’objet d’une tarification spéciale de traitement.</w:t>
      </w:r>
    </w:p>
    <w:p w14:paraId="303A858A" w14:textId="77777777" w:rsidR="00CC64B6" w:rsidRPr="008474A2" w:rsidRDefault="00CC64B6" w:rsidP="00CC64B6">
      <w:pPr>
        <w:pStyle w:val="Corpsdetexte"/>
        <w:keepNext/>
        <w:rPr>
          <w:b/>
          <w:u w:val="single"/>
        </w:rPr>
      </w:pPr>
      <w:r w:rsidRPr="008474A2">
        <w:rPr>
          <w:b/>
          <w:u w:val="single"/>
        </w:rPr>
        <w:t>Lettres</w:t>
      </w:r>
      <w:r>
        <w:rPr>
          <w:b/>
          <w:u w:val="single"/>
        </w:rPr>
        <w:t xml:space="preserve"> Recommandées dématérialisées</w:t>
      </w:r>
    </w:p>
    <w:p w14:paraId="5021D4DA" w14:textId="77777777" w:rsidR="00CC64B6" w:rsidRDefault="00CC64B6" w:rsidP="00CC64B6">
      <w:pPr>
        <w:pStyle w:val="Corpsdetexte"/>
      </w:pPr>
      <w:r>
        <w:t>Le Titulaire doit être en capacité d’offrir un service d’émission de courriers recommandés dématérialisés. Pour ce faire, il intègre dans son offre l’accès à ce service supplémentaire.</w:t>
      </w:r>
    </w:p>
    <w:p w14:paraId="3CEF813E" w14:textId="77777777" w:rsidR="00CC64B6" w:rsidRPr="00054DC1" w:rsidRDefault="00CC64B6" w:rsidP="00CC64B6">
      <w:pPr>
        <w:pStyle w:val="Corpsdetexte"/>
        <w:keepNext/>
        <w:rPr>
          <w:b/>
          <w:u w:val="single"/>
        </w:rPr>
      </w:pPr>
      <w:r w:rsidRPr="00054DC1">
        <w:rPr>
          <w:b/>
          <w:u w:val="single"/>
        </w:rPr>
        <w:t>Retour d’avis de réception ou de pli non distribué</w:t>
      </w:r>
    </w:p>
    <w:p w14:paraId="4B3DFD64" w14:textId="77777777" w:rsidR="00CC64B6" w:rsidRPr="00D6657B" w:rsidRDefault="00CC64B6" w:rsidP="00CC64B6">
      <w:pPr>
        <w:pStyle w:val="Corpsdetexte"/>
      </w:pPr>
      <w:r w:rsidRPr="003A15AF">
        <w:t>L</w:t>
      </w:r>
      <w:r>
        <w:t>’opération</w:t>
      </w:r>
      <w:r w:rsidRPr="003A15AF">
        <w:t xml:space="preserve"> comporte la numérisation et le retour </w:t>
      </w:r>
      <w:r>
        <w:t xml:space="preserve">à l’AP-HP </w:t>
      </w:r>
      <w:r w:rsidRPr="003A15AF">
        <w:t>par fichier zip</w:t>
      </w:r>
      <w:r>
        <w:t xml:space="preserve"> de l’avis de réception ou de non distribution.</w:t>
      </w:r>
    </w:p>
    <w:p w14:paraId="704BA47F" w14:textId="685769C6" w:rsidR="00D02CB0" w:rsidRDefault="00F721B4" w:rsidP="00D02CB0">
      <w:pPr>
        <w:pStyle w:val="Titre3"/>
      </w:pPr>
      <w:bookmarkStart w:id="37" w:name="_Toc201153289"/>
      <w:r>
        <w:t>Fourniture d'enveloppes et de papiers</w:t>
      </w:r>
      <w:bookmarkEnd w:id="37"/>
    </w:p>
    <w:p w14:paraId="604006FA" w14:textId="77777777" w:rsidR="00CC64B6" w:rsidRPr="00E966F0" w:rsidRDefault="00CC64B6" w:rsidP="00CC64B6">
      <w:pPr>
        <w:pStyle w:val="Corpsdetexte"/>
        <w:keepNext/>
        <w:rPr>
          <w:b/>
          <w:u w:val="single"/>
        </w:rPr>
      </w:pPr>
      <w:r w:rsidRPr="00E966F0">
        <w:rPr>
          <w:b/>
          <w:u w:val="single"/>
        </w:rPr>
        <w:t>Commande d’enveloppes avec logo AP-HP</w:t>
      </w:r>
    </w:p>
    <w:p w14:paraId="13588196" w14:textId="661C584C" w:rsidR="00CC64B6" w:rsidRPr="009B610D" w:rsidRDefault="00CC64B6" w:rsidP="00CC64B6">
      <w:pPr>
        <w:pStyle w:val="Corpsdetexte"/>
      </w:pPr>
      <w:r w:rsidRPr="009B610D">
        <w:t xml:space="preserve">L’AP-HP commande au titulaire le stock d’enveloppes </w:t>
      </w:r>
      <w:r w:rsidR="00DD57E0" w:rsidRPr="009B610D">
        <w:t xml:space="preserve">à fenêtre </w:t>
      </w:r>
      <w:r w:rsidRPr="009B610D">
        <w:t xml:space="preserve">avec logo AP-HP nécessaires à la production. </w:t>
      </w:r>
    </w:p>
    <w:p w14:paraId="45700606" w14:textId="77777777" w:rsidR="00CC64B6" w:rsidRPr="009B610D" w:rsidRDefault="00CC64B6" w:rsidP="00CC64B6">
      <w:pPr>
        <w:pStyle w:val="Corpsdetexte"/>
      </w:pPr>
      <w:r w:rsidRPr="009B610D">
        <w:t>Afin que cette commande soit honorée, il s’engage à fournir tous les mois à l’AP</w:t>
      </w:r>
      <w:r w:rsidRPr="009B610D">
        <w:noBreakHyphen/>
        <w:t>HP les quantités du stock dont il dispose et à alerter (par mail, à une adresse donnée par l’AP</w:t>
      </w:r>
      <w:r w:rsidRPr="009B610D">
        <w:noBreakHyphen/>
        <w:t>HP en début de marché – qui peut faire l’objet de mise à jour pendant toute la durée du marché) quand le stock atteint un seuil critique et que les commandes doivent être réalisées.</w:t>
      </w:r>
    </w:p>
    <w:p w14:paraId="75A3E64C" w14:textId="77777777" w:rsidR="00CC64B6" w:rsidRPr="009B610D" w:rsidRDefault="00CC64B6" w:rsidP="00CC64B6">
      <w:pPr>
        <w:pStyle w:val="Corpsdetexte"/>
      </w:pPr>
      <w:r w:rsidRPr="009B610D">
        <w:t>L’organisation de l’alerte doit être réalisée en début de marché (détermination du seuil critique).</w:t>
      </w:r>
    </w:p>
    <w:p w14:paraId="2BC6F4CF" w14:textId="77777777" w:rsidR="00CC64B6" w:rsidRPr="009B610D" w:rsidRDefault="00CC64B6" w:rsidP="00CC64B6">
      <w:pPr>
        <w:pStyle w:val="Corpsdetexte"/>
        <w:keepNext/>
        <w:rPr>
          <w:b/>
          <w:u w:val="single"/>
        </w:rPr>
      </w:pPr>
      <w:r w:rsidRPr="009B610D">
        <w:rPr>
          <w:b/>
          <w:u w:val="single"/>
        </w:rPr>
        <w:t>Enveloppes retour avec logo Trésor Public</w:t>
      </w:r>
    </w:p>
    <w:p w14:paraId="0AAA8524" w14:textId="4D448DAC" w:rsidR="00CC64B6" w:rsidRDefault="00CC64B6" w:rsidP="00CC64B6">
      <w:pPr>
        <w:pStyle w:val="Corpsdetexte"/>
      </w:pPr>
      <w:r w:rsidRPr="009B610D">
        <w:t xml:space="preserve">L’AP-HP commande au titulaire le stock d’enveloppes retour </w:t>
      </w:r>
      <w:r w:rsidR="00DD57E0" w:rsidRPr="009B610D">
        <w:t xml:space="preserve">à fenêtre </w:t>
      </w:r>
      <w:r w:rsidRPr="009B610D">
        <w:t>avec logo « Trésor Public »</w:t>
      </w:r>
      <w:r>
        <w:t xml:space="preserve"> nécessaires à la production.</w:t>
      </w:r>
    </w:p>
    <w:p w14:paraId="4AC264AF" w14:textId="77777777" w:rsidR="00CC64B6" w:rsidRDefault="00CC64B6" w:rsidP="00CC64B6">
      <w:pPr>
        <w:pStyle w:val="Corpsdetexte"/>
      </w:pPr>
      <w:r>
        <w:t>Afin que cette commande soit honorée, il s’engage à fournir tous les mois à l’AP-HP les quantités du stock dont il dispose et à alerter (par mail, à une adresse donnée par l’AP</w:t>
      </w:r>
      <w:r>
        <w:noBreakHyphen/>
        <w:t>HP en début de marché ainsi qu’à chaque changement) quand le stock atteint un seuil critique et que les commandes doivent être réalisées.</w:t>
      </w:r>
    </w:p>
    <w:p w14:paraId="1E9D66AB" w14:textId="77777777" w:rsidR="00CC64B6" w:rsidRDefault="00CC64B6" w:rsidP="00CC64B6">
      <w:pPr>
        <w:pStyle w:val="Corpsdetexte"/>
      </w:pPr>
      <w:r>
        <w:t>L’organisation de l’alerte doit être réalisée en début de marché (détermination du seuil critique).</w:t>
      </w:r>
    </w:p>
    <w:p w14:paraId="69D1EEFA" w14:textId="16DFC977" w:rsidR="00D02CB0" w:rsidRDefault="00F721B4" w:rsidP="00D02CB0">
      <w:pPr>
        <w:pStyle w:val="Titre3"/>
      </w:pPr>
      <w:bookmarkStart w:id="38" w:name="_Toc201153290"/>
      <w:r>
        <w:lastRenderedPageBreak/>
        <w:t>Pli non distribué (PND)</w:t>
      </w:r>
      <w:bookmarkEnd w:id="38"/>
    </w:p>
    <w:p w14:paraId="4368F88C" w14:textId="77777777" w:rsidR="00CC64B6" w:rsidRPr="00D6657B" w:rsidRDefault="00CC64B6" w:rsidP="00CC64B6">
      <w:pPr>
        <w:pStyle w:val="Corpsdetexte"/>
      </w:pPr>
      <w:r>
        <w:t>Le Titulaire utilise son contrat ALLIAGE PREMIUM pour traiter les PND de l’AP-HP. Il refacture les coûts à l’AP-HP en appliquant les coûts prévus au marché, et en joignant pour justificatif des quantités la facturation de LA POSTE.</w:t>
      </w:r>
    </w:p>
    <w:p w14:paraId="0712B93D" w14:textId="20DCB230" w:rsidR="00D02CB0" w:rsidRDefault="00F721B4" w:rsidP="00D02CB0">
      <w:pPr>
        <w:pStyle w:val="Titre3"/>
      </w:pPr>
      <w:bookmarkStart w:id="39" w:name="_Toc201153291"/>
      <w:r>
        <w:t>Affranchissement étranger</w:t>
      </w:r>
      <w:bookmarkEnd w:id="39"/>
    </w:p>
    <w:p w14:paraId="469F02F7" w14:textId="77777777" w:rsidR="00CC64B6" w:rsidRDefault="00CC64B6" w:rsidP="00CC64B6">
      <w:pPr>
        <w:pStyle w:val="Corpsdetexte"/>
      </w:pPr>
      <w:r>
        <w:t>Pour les courriers à l’international, l’AP-HP n’a pas de contrat avec LA POSTE vu le faible volume.</w:t>
      </w:r>
    </w:p>
    <w:p w14:paraId="5D41AA00" w14:textId="77777777" w:rsidR="00CC64B6" w:rsidRDefault="00CC64B6" w:rsidP="00CC64B6">
      <w:pPr>
        <w:pStyle w:val="Corpsdetexte"/>
      </w:pPr>
      <w:r>
        <w:t xml:space="preserve">Le Titulaire </w:t>
      </w:r>
      <w:r w:rsidRPr="0098569A">
        <w:t>isole automatiquement des lots de plis pour remplir des caissettes dédiées</w:t>
      </w:r>
      <w:r>
        <w:t xml:space="preserve">. Pour traiter de façon optimale ces courriers il met en place un processus le plus industriel possible. </w:t>
      </w:r>
    </w:p>
    <w:p w14:paraId="3B23ADE6" w14:textId="77777777" w:rsidR="00CC64B6" w:rsidRDefault="00CC64B6" w:rsidP="00CC64B6">
      <w:pPr>
        <w:pStyle w:val="Corpsdetexte"/>
      </w:pPr>
      <w:r>
        <w:t>Le Titulaire propose à l’AP-HP les meilleurs tarifs possibles qu’il peut obtenir de LA POSTE compte tenu de son activité générale et de la volumétrie des courriers de l’AP-HP.</w:t>
      </w:r>
    </w:p>
    <w:p w14:paraId="62D3199C" w14:textId="77777777" w:rsidR="00CC64B6" w:rsidRDefault="00CC64B6" w:rsidP="00CC64B6">
      <w:pPr>
        <w:pStyle w:val="Corpsdetexte"/>
      </w:pPr>
      <w:r>
        <w:t>Le coût de l’opération d’affranchissement des courriers à l’international</w:t>
      </w:r>
      <w:r w:rsidRPr="005F5B5C">
        <w:t xml:space="preserve"> </w:t>
      </w:r>
      <w:r w:rsidRPr="003A15AF">
        <w:t xml:space="preserve">comporte le fait </w:t>
      </w:r>
      <w:r>
        <w:t xml:space="preserve">de </w:t>
      </w:r>
      <w:r w:rsidRPr="003A15AF">
        <w:t>disposer les plis dans les contenants</w:t>
      </w:r>
      <w:r>
        <w:t>,</w:t>
      </w:r>
      <w:r w:rsidRPr="003A15AF">
        <w:t xml:space="preserve"> de les remettre à LA POSTE</w:t>
      </w:r>
      <w:r>
        <w:t xml:space="preserve">, et aussi </w:t>
      </w:r>
      <w:r w:rsidRPr="005F5B5C">
        <w:t>l’affranchissement lui-même</w:t>
      </w:r>
      <w:r>
        <w:t>. Ce dernier étant à refacturer à l’AP-HP en joignant pour justificatif la facturation de LA POSTE.</w:t>
      </w:r>
    </w:p>
    <w:p w14:paraId="45E2C5EE" w14:textId="4B34EC40" w:rsidR="00F721B4" w:rsidRDefault="00F721B4" w:rsidP="00F721B4">
      <w:pPr>
        <w:pStyle w:val="Titre1"/>
      </w:pPr>
      <w:bookmarkStart w:id="40" w:name="_Toc201153292"/>
      <w:r>
        <w:t>QUALITE DE SERVICE</w:t>
      </w:r>
      <w:bookmarkEnd w:id="40"/>
    </w:p>
    <w:p w14:paraId="06E68076" w14:textId="135C84B4" w:rsidR="00D02CB0" w:rsidRDefault="00D02CB0" w:rsidP="00D02CB0">
      <w:pPr>
        <w:pStyle w:val="Titre2"/>
      </w:pPr>
      <w:bookmarkStart w:id="41" w:name="_Toc201153293"/>
      <w:r w:rsidRPr="00D02CB0">
        <w:t>Suivi</w:t>
      </w:r>
      <w:r>
        <w:t xml:space="preserve"> du marché</w:t>
      </w:r>
      <w:bookmarkEnd w:id="41"/>
    </w:p>
    <w:p w14:paraId="57CD069D" w14:textId="77777777" w:rsidR="000F1FAD" w:rsidRDefault="000F1FAD" w:rsidP="000F1FAD">
      <w:pPr>
        <w:pStyle w:val="Corpsdetexte"/>
      </w:pPr>
      <w:r w:rsidRPr="00512282">
        <w:t xml:space="preserve">Sont attendus de la part du Titulaire, le conseil, le pilotage et la </w:t>
      </w:r>
      <w:r>
        <w:t>gestion transversale du marché. Ces activités apportent une qualité de service à laquelle l’AP-HP est sensible.</w:t>
      </w:r>
    </w:p>
    <w:p w14:paraId="07319886" w14:textId="77777777" w:rsidR="00F874B9" w:rsidRDefault="00F874B9" w:rsidP="000F1FAD">
      <w:pPr>
        <w:pStyle w:val="Corpsdetexte"/>
      </w:pPr>
      <w:r w:rsidRPr="00F874B9">
        <w:t>Le suivi du marché ne fait l’objet d’aucune facturation. Son coût est ventilé au choix du Titulaire sur les autres prestations du marché faisant l’objet d’un prix.</w:t>
      </w:r>
    </w:p>
    <w:p w14:paraId="280F5664" w14:textId="411CC154" w:rsidR="000F1FAD" w:rsidRDefault="000F1FAD" w:rsidP="000F1FAD">
      <w:pPr>
        <w:pStyle w:val="Corpsdetexte"/>
      </w:pPr>
      <w:r>
        <w:t>Cette qualité de service s’appuie sur plusieurs dispositifs attendus de la part du Titulaire et présentés dans les paragraphes suivants :</w:t>
      </w:r>
    </w:p>
    <w:p w14:paraId="3F71997E" w14:textId="72719BF7" w:rsidR="00D02CB0" w:rsidRDefault="00D02CB0" w:rsidP="00D02CB0">
      <w:pPr>
        <w:pStyle w:val="Titre3"/>
      </w:pPr>
      <w:bookmarkStart w:id="42" w:name="_Toc201153294"/>
      <w:r>
        <w:t>Réunion trimestrielle</w:t>
      </w:r>
      <w:bookmarkEnd w:id="42"/>
    </w:p>
    <w:p w14:paraId="26E80D04" w14:textId="77777777" w:rsidR="000F1FAD" w:rsidRPr="00512282" w:rsidRDefault="000F1FAD" w:rsidP="000F1FAD">
      <w:pPr>
        <w:pStyle w:val="Corpsdetexte"/>
      </w:pPr>
      <w:r w:rsidRPr="00512282">
        <w:t>Le suivi contractuel fait l’objet d’une réunion trimestrielle</w:t>
      </w:r>
      <w:r>
        <w:t>,</w:t>
      </w:r>
      <w:r w:rsidRPr="00512282">
        <w:t xml:space="preserve"> tous les 3 mois à partir de la date de notification du marché</w:t>
      </w:r>
      <w:r>
        <w:t>,</w:t>
      </w:r>
      <w:r w:rsidRPr="00512282">
        <w:t xml:space="preserve"> </w:t>
      </w:r>
      <w:r>
        <w:t>et/</w:t>
      </w:r>
      <w:r w:rsidRPr="00512282">
        <w:t>ou de manière exceptionnelle.</w:t>
      </w:r>
    </w:p>
    <w:p w14:paraId="2F48113F" w14:textId="77777777" w:rsidR="000F1FAD" w:rsidRDefault="000F1FAD" w:rsidP="000F1FAD">
      <w:pPr>
        <w:pStyle w:val="Corpsdetexte"/>
      </w:pPr>
      <w:r w:rsidRPr="00512282">
        <w:t xml:space="preserve">La réunion de suivi contractuel est organisée par le Titulaire, sauf </w:t>
      </w:r>
      <w:r>
        <w:t>avis contraire de l’AP-HP. L’AP</w:t>
      </w:r>
      <w:r>
        <w:noBreakHyphen/>
      </w:r>
      <w:r w:rsidRPr="00512282">
        <w:t xml:space="preserve">HP peut accepter ou proposer l’annulation de cette réunion. </w:t>
      </w:r>
    </w:p>
    <w:p w14:paraId="7ACA599A" w14:textId="77777777" w:rsidR="000F1FAD" w:rsidRPr="00512282" w:rsidRDefault="000F1FAD" w:rsidP="000F1FAD">
      <w:pPr>
        <w:pStyle w:val="Corpsdetexte"/>
      </w:pPr>
      <w:r w:rsidRPr="00512282">
        <w:t>Le Titulaire fournit</w:t>
      </w:r>
      <w:r>
        <w:t>,</w:t>
      </w:r>
      <w:r w:rsidRPr="00512282">
        <w:t xml:space="preserve"> </w:t>
      </w:r>
      <w:r>
        <w:t xml:space="preserve">au moins </w:t>
      </w:r>
      <w:r w:rsidRPr="00F779A1">
        <w:t>3 jours ouvrés</w:t>
      </w:r>
      <w:r w:rsidRPr="00512282">
        <w:t xml:space="preserve"> avant la tenue de la réunion</w:t>
      </w:r>
      <w:r>
        <w:t>,</w:t>
      </w:r>
      <w:r w:rsidRPr="00512282">
        <w:t xml:space="preserve"> l’ordre du jour </w:t>
      </w:r>
      <w:r>
        <w:t xml:space="preserve">à </w:t>
      </w:r>
      <w:r w:rsidRPr="00512282">
        <w:t>valid</w:t>
      </w:r>
      <w:r>
        <w:t>er</w:t>
      </w:r>
      <w:r w:rsidRPr="00512282">
        <w:t xml:space="preserve"> par l’AP-HP.</w:t>
      </w:r>
    </w:p>
    <w:p w14:paraId="2222F0B9" w14:textId="5BEE84B6" w:rsidR="000F1FAD" w:rsidRPr="00CC1F4E" w:rsidRDefault="000F1FAD" w:rsidP="00AC4275">
      <w:pPr>
        <w:pStyle w:val="Corpsdetexte"/>
        <w:tabs>
          <w:tab w:val="left" w:pos="567"/>
        </w:tabs>
        <w:ind w:left="284" w:hanging="284"/>
        <w:jc w:val="left"/>
      </w:pPr>
      <w:r w:rsidRPr="00512282">
        <w:t xml:space="preserve">L’ordre du jour recouvre </w:t>
      </w:r>
      <w:r>
        <w:t>au moins les points suivants :</w:t>
      </w:r>
      <w:r w:rsidR="00AD78FF">
        <w:br/>
        <w:t>-</w:t>
      </w:r>
      <w:r w:rsidR="00AC4275">
        <w:tab/>
      </w:r>
      <w:r w:rsidRPr="00512282">
        <w:t>un point sur l’exécution administrative et financière du marché,</w:t>
      </w:r>
      <w:r w:rsidR="00AD78FF">
        <w:br/>
      </w:r>
      <w:r w:rsidR="00AD78FF" w:rsidRPr="00CC1F4E">
        <w:t>-</w:t>
      </w:r>
      <w:r w:rsidR="00AC4275" w:rsidRPr="00CC1F4E">
        <w:tab/>
      </w:r>
      <w:r w:rsidRPr="00CC1F4E">
        <w:t>un point sur les statistiques de production.</w:t>
      </w:r>
    </w:p>
    <w:p w14:paraId="3F7265EF" w14:textId="2C332BFB" w:rsidR="00AC4275" w:rsidRDefault="00AC4275" w:rsidP="00AC4275">
      <w:pPr>
        <w:pStyle w:val="Corpsdetexte"/>
        <w:tabs>
          <w:tab w:val="left" w:pos="567"/>
        </w:tabs>
        <w:ind w:left="284" w:hanging="284"/>
        <w:jc w:val="left"/>
      </w:pPr>
      <w:r w:rsidRPr="00CC1F4E">
        <w:t>Les statistiques de production sont transmises à la DSN et à l’AGEPS et présentent au moins :</w:t>
      </w:r>
      <w:r w:rsidRPr="00CC1F4E">
        <w:br/>
        <w:t>-</w:t>
      </w:r>
      <w:r w:rsidRPr="00CC1F4E">
        <w:tab/>
        <w:t>volumes mensuels et totaux annuels de production : pages, feuilles, plis</w:t>
      </w:r>
      <w:r w:rsidRPr="00CC1F4E">
        <w:br/>
        <w:t>-</w:t>
      </w:r>
      <w:r w:rsidRPr="00CC1F4E">
        <w:tab/>
        <w:t>volumes mensuels et totaux annuels de plis par filière et par délai de dépôt (J, J+1, J+2)</w:t>
      </w:r>
      <w:r w:rsidRPr="00CC1F4E">
        <w:br/>
        <w:t>-</w:t>
      </w:r>
      <w:r w:rsidRPr="00CC1F4E">
        <w:tab/>
        <w:t>CA mensuel, totaux annuel</w:t>
      </w:r>
      <w:r w:rsidRPr="00CC1F4E">
        <w:br/>
        <w:t>-</w:t>
      </w:r>
      <w:r w:rsidRPr="00CC1F4E">
        <w:tab/>
        <w:t>incidents et demandes</w:t>
      </w:r>
      <w:r w:rsidRPr="00CC1F4E">
        <w:br/>
        <w:t>-</w:t>
      </w:r>
      <w:r w:rsidRPr="00CC1F4E">
        <w:tab/>
        <w:t>travaux ponctuels : UO commandées</w:t>
      </w:r>
    </w:p>
    <w:p w14:paraId="3179B137" w14:textId="0620C2B0" w:rsidR="000F1FAD" w:rsidRPr="00512282" w:rsidRDefault="000F1FAD" w:rsidP="000F1FAD">
      <w:pPr>
        <w:pStyle w:val="Corpsdetexte"/>
      </w:pPr>
      <w:r w:rsidRPr="00512282">
        <w:t xml:space="preserve">Le Titulaire </w:t>
      </w:r>
      <w:r>
        <w:t>diffuse par mail,</w:t>
      </w:r>
      <w:r w:rsidRPr="00512282">
        <w:t xml:space="preserve"> </w:t>
      </w:r>
      <w:r>
        <w:t xml:space="preserve">dans les </w:t>
      </w:r>
      <w:r w:rsidRPr="00F779A1">
        <w:t>3 jours ouvrés</w:t>
      </w:r>
      <w:r w:rsidRPr="00512282">
        <w:t xml:space="preserve"> a</w:t>
      </w:r>
      <w:r>
        <w:t>près</w:t>
      </w:r>
      <w:r w:rsidRPr="00512282">
        <w:t xml:space="preserve"> la tenue de la réunion</w:t>
      </w:r>
      <w:r>
        <w:t>,</w:t>
      </w:r>
      <w:r w:rsidRPr="00512282">
        <w:t xml:space="preserve"> </w:t>
      </w:r>
      <w:r>
        <w:t xml:space="preserve">le </w:t>
      </w:r>
      <w:r w:rsidRPr="004915DF">
        <w:t xml:space="preserve">compte rendu de la réunion </w:t>
      </w:r>
      <w:r>
        <w:t xml:space="preserve">à </w:t>
      </w:r>
      <w:r w:rsidRPr="00512282">
        <w:t>valid</w:t>
      </w:r>
      <w:r>
        <w:t>er</w:t>
      </w:r>
      <w:r w:rsidRPr="00512282">
        <w:t xml:space="preserve"> par l’AP-HP.</w:t>
      </w:r>
    </w:p>
    <w:p w14:paraId="602E25AC" w14:textId="3213EAE4" w:rsidR="000F1FAD" w:rsidRPr="00512282" w:rsidRDefault="000F1FAD" w:rsidP="00AD78FF">
      <w:pPr>
        <w:pStyle w:val="Corpsdetexte"/>
        <w:ind w:left="284" w:hanging="284"/>
        <w:jc w:val="left"/>
      </w:pPr>
      <w:r w:rsidRPr="00512282">
        <w:lastRenderedPageBreak/>
        <w:t>Livrables attendus</w:t>
      </w:r>
      <w:r>
        <w:t> :</w:t>
      </w:r>
      <w:r w:rsidR="00AD78FF">
        <w:br/>
        <w:t xml:space="preserve">- </w:t>
      </w:r>
      <w:r>
        <w:t>l</w:t>
      </w:r>
      <w:r w:rsidRPr="00512282">
        <w:t>a tenue de chaque réunion de suivi contractuel et l’ordre du jour correspondant,</w:t>
      </w:r>
      <w:r w:rsidR="00AD78FF">
        <w:br/>
        <w:t xml:space="preserve">- </w:t>
      </w:r>
      <w:r>
        <w:t>l</w:t>
      </w:r>
      <w:r w:rsidRPr="00512282">
        <w:t>e compte-rendu de chaque réunion de suivi contractuel,</w:t>
      </w:r>
      <w:r w:rsidR="00AD78FF">
        <w:br/>
        <w:t xml:space="preserve">- </w:t>
      </w:r>
      <w:r>
        <w:t>l</w:t>
      </w:r>
      <w:r w:rsidRPr="00512282">
        <w:t>es tableaux de bord, statistiques, etc.</w:t>
      </w:r>
    </w:p>
    <w:p w14:paraId="05583A71" w14:textId="493E6342" w:rsidR="00D02CB0" w:rsidRDefault="00D02CB0" w:rsidP="00D02CB0">
      <w:pPr>
        <w:pStyle w:val="Titre3"/>
      </w:pPr>
      <w:bookmarkStart w:id="43" w:name="_Toc201153295"/>
      <w:r>
        <w:t>Equipe du Titulaire</w:t>
      </w:r>
      <w:bookmarkEnd w:id="43"/>
    </w:p>
    <w:p w14:paraId="638BCA88" w14:textId="77777777" w:rsidR="000F1FAD" w:rsidRPr="00B41C5D" w:rsidRDefault="000F1FAD" w:rsidP="000F1FAD">
      <w:pPr>
        <w:pStyle w:val="Corpsdetexte"/>
        <w:rPr>
          <w:rFonts w:cs="Open Sans"/>
        </w:rPr>
      </w:pPr>
      <w:r w:rsidRPr="00B41C5D">
        <w:rPr>
          <w:rFonts w:cs="Open Sans"/>
        </w:rPr>
        <w:t>Le Titulaire s’engage à ce que des interlocuteurs soient disponibles pour gérer au quotidien les activités liées au marché.</w:t>
      </w:r>
    </w:p>
    <w:p w14:paraId="5951DF0D" w14:textId="77777777" w:rsidR="00E12AC6" w:rsidRPr="00B41C5D" w:rsidRDefault="000F1FAD" w:rsidP="00E12AC6">
      <w:pPr>
        <w:pStyle w:val="ttedeliste"/>
        <w:rPr>
          <w:rFonts w:ascii="Open Sans" w:hAnsi="Open Sans" w:cs="Open Sans"/>
        </w:rPr>
      </w:pPr>
      <w:r w:rsidRPr="00B41C5D">
        <w:rPr>
          <w:rFonts w:ascii="Open Sans" w:hAnsi="Open Sans" w:cs="Open Sans"/>
        </w:rPr>
        <w:t>Sont exigés la nomination chez le titulaire :</w:t>
      </w:r>
    </w:p>
    <w:p w14:paraId="46F169D2" w14:textId="299CB187" w:rsidR="00E12AC6" w:rsidRPr="00B41C5D" w:rsidRDefault="00E12AC6" w:rsidP="00E12AC6">
      <w:pPr>
        <w:pStyle w:val="Listepuces"/>
        <w:rPr>
          <w:rFonts w:cs="Open Sans"/>
        </w:rPr>
      </w:pPr>
      <w:r w:rsidRPr="00B41C5D">
        <w:rPr>
          <w:rFonts w:cs="Open Sans"/>
        </w:rPr>
        <w:t>D</w:t>
      </w:r>
      <w:r w:rsidR="000F1FAD" w:rsidRPr="00B41C5D">
        <w:rPr>
          <w:rFonts w:cs="Open Sans"/>
        </w:rPr>
        <w:t>'un Interlocuteur Technique ayant les compétences permettant de traiter au quotidien les événements</w:t>
      </w:r>
      <w:r w:rsidRPr="00B41C5D">
        <w:rPr>
          <w:rFonts w:cs="Open Sans"/>
        </w:rPr>
        <w:t>.</w:t>
      </w:r>
    </w:p>
    <w:p w14:paraId="1E68AE1E" w14:textId="47E062A8" w:rsidR="00E12AC6" w:rsidRPr="00B41C5D" w:rsidRDefault="00E12AC6" w:rsidP="00E12AC6">
      <w:pPr>
        <w:pStyle w:val="Listepuces"/>
        <w:rPr>
          <w:rFonts w:cs="Open Sans"/>
        </w:rPr>
      </w:pPr>
      <w:r w:rsidRPr="00B41C5D">
        <w:rPr>
          <w:rFonts w:cs="Open Sans"/>
        </w:rPr>
        <w:t>D</w:t>
      </w:r>
      <w:r w:rsidR="000F1FAD" w:rsidRPr="00B41C5D">
        <w:rPr>
          <w:rFonts w:cs="Open Sans"/>
        </w:rPr>
        <w:t>’un Responsable Technique traitant les demandes et, en cas d’incident, prenant les décisions et produisant les rapports</w:t>
      </w:r>
      <w:r w:rsidRPr="00B41C5D">
        <w:rPr>
          <w:rFonts w:cs="Open Sans"/>
        </w:rPr>
        <w:t>.</w:t>
      </w:r>
    </w:p>
    <w:p w14:paraId="3C9D12EC" w14:textId="5D9EB29D" w:rsidR="000F1FAD" w:rsidRPr="00B41C5D" w:rsidRDefault="00E12AC6" w:rsidP="00E12AC6">
      <w:pPr>
        <w:pStyle w:val="Listepuces"/>
        <w:rPr>
          <w:rFonts w:cs="Open Sans"/>
        </w:rPr>
      </w:pPr>
      <w:r w:rsidRPr="00B41C5D">
        <w:rPr>
          <w:rFonts w:cs="Open Sans"/>
        </w:rPr>
        <w:t>D</w:t>
      </w:r>
      <w:r w:rsidR="000F1FAD" w:rsidRPr="00B41C5D">
        <w:rPr>
          <w:rFonts w:cs="Open Sans"/>
        </w:rPr>
        <w:t>’un Responsable Commercial représentant le Titulaire et apte à traiter tous les sujets de suivi du marché.</w:t>
      </w:r>
    </w:p>
    <w:p w14:paraId="70EBABEB" w14:textId="240DDCCE" w:rsidR="000F1FAD" w:rsidRPr="00B41C5D" w:rsidRDefault="000F1FAD" w:rsidP="000F1FAD">
      <w:pPr>
        <w:pStyle w:val="Corpsdetexte"/>
        <w:rPr>
          <w:rFonts w:cs="Open Sans"/>
        </w:rPr>
      </w:pPr>
      <w:r w:rsidRPr="00B41C5D">
        <w:rPr>
          <w:rFonts w:cs="Open Sans"/>
        </w:rPr>
        <w:t xml:space="preserve">Pour assurer la continuité du service, ces interlocuteurs doivent être remplacés en cas d’absence ou de </w:t>
      </w:r>
      <w:r w:rsidRPr="00B8337C">
        <w:rPr>
          <w:rFonts w:cs="Open Sans"/>
        </w:rPr>
        <w:t>départ, et ce avec un délai de prévention</w:t>
      </w:r>
      <w:r w:rsidR="000A12C4" w:rsidRPr="00B8337C">
        <w:rPr>
          <w:rFonts w:cs="Open Sans"/>
        </w:rPr>
        <w:t xml:space="preserve"> </w:t>
      </w:r>
      <w:r w:rsidR="00B3546A" w:rsidRPr="00B8337C">
        <w:rPr>
          <w:rFonts w:cs="Open Sans"/>
        </w:rPr>
        <w:t>de 3 semaines</w:t>
      </w:r>
      <w:r w:rsidR="00CC1F4E" w:rsidRPr="00B8337C">
        <w:rPr>
          <w:rFonts w:cs="Open Sans"/>
        </w:rPr>
        <w:t xml:space="preserve"> minimum</w:t>
      </w:r>
      <w:r w:rsidR="000A12C4" w:rsidRPr="00B8337C">
        <w:rPr>
          <w:rFonts w:cs="Open Sans"/>
        </w:rPr>
        <w:t xml:space="preserve">, </w:t>
      </w:r>
      <w:r w:rsidR="00CC1F4E" w:rsidRPr="00B8337C">
        <w:rPr>
          <w:rFonts w:cs="Open Sans"/>
        </w:rPr>
        <w:t xml:space="preserve">sous peine de </w:t>
      </w:r>
      <w:r w:rsidR="000A12C4" w:rsidRPr="00B8337C">
        <w:rPr>
          <w:rFonts w:cs="Open Sans"/>
        </w:rPr>
        <w:t>pénalité</w:t>
      </w:r>
      <w:r w:rsidR="00CC1F4E" w:rsidRPr="00B8337C">
        <w:rPr>
          <w:rFonts w:cs="Open Sans"/>
        </w:rPr>
        <w:t>.</w:t>
      </w:r>
    </w:p>
    <w:p w14:paraId="1C2F3B74" w14:textId="77777777" w:rsidR="000F1FAD" w:rsidRPr="00B41C5D" w:rsidRDefault="000F1FAD" w:rsidP="000F1FAD">
      <w:pPr>
        <w:pStyle w:val="Corpsdetexte"/>
        <w:rPr>
          <w:rFonts w:cs="Open Sans"/>
        </w:rPr>
      </w:pPr>
      <w:r w:rsidRPr="00B41C5D">
        <w:rPr>
          <w:rFonts w:cs="Open Sans"/>
        </w:rPr>
        <w:t>Durant la phase d’initialisation, dans le PAQ, les modalités d’accès à l’équipe du Titulaire et de leurs remplacements sont fixées.</w:t>
      </w:r>
    </w:p>
    <w:p w14:paraId="32C0E61C" w14:textId="2C3709D4" w:rsidR="00D02CB0" w:rsidRDefault="00D02CB0" w:rsidP="00D02CB0">
      <w:pPr>
        <w:pStyle w:val="Titre3"/>
      </w:pPr>
      <w:bookmarkStart w:id="44" w:name="_Toc201153296"/>
      <w:r>
        <w:t>Respect de</w:t>
      </w:r>
      <w:r w:rsidR="00E12AC6">
        <w:t>s</w:t>
      </w:r>
      <w:r>
        <w:t xml:space="preserve"> coûts</w:t>
      </w:r>
      <w:bookmarkEnd w:id="44"/>
    </w:p>
    <w:p w14:paraId="0D30701E" w14:textId="3DEFBDBF" w:rsidR="000F1FAD" w:rsidRPr="00FB0224" w:rsidRDefault="000F1FAD" w:rsidP="00AD78FF">
      <w:pPr>
        <w:pStyle w:val="Corpsdetexte"/>
        <w:ind w:left="284" w:hanging="284"/>
        <w:jc w:val="left"/>
      </w:pPr>
      <w:r w:rsidRPr="00FB0224">
        <w:t xml:space="preserve">Indicateurs : </w:t>
      </w:r>
      <w:r w:rsidR="001B7C1D">
        <w:br/>
        <w:t xml:space="preserve">- </w:t>
      </w:r>
      <w:r>
        <w:t>c</w:t>
      </w:r>
      <w:r w:rsidRPr="00FB0224">
        <w:t xml:space="preserve">ohérence des </w:t>
      </w:r>
      <w:r>
        <w:t xml:space="preserve">propositions détaillées </w:t>
      </w:r>
      <w:r w:rsidRPr="00FB0224">
        <w:t xml:space="preserve">par rapport au </w:t>
      </w:r>
      <w:r>
        <w:t xml:space="preserve">BPU </w:t>
      </w:r>
      <w:r w:rsidRPr="00FB0224">
        <w:t>marché,</w:t>
      </w:r>
      <w:r w:rsidR="001B7C1D">
        <w:br/>
        <w:t xml:space="preserve">- </w:t>
      </w:r>
      <w:r>
        <w:t>c</w:t>
      </w:r>
      <w:r w:rsidRPr="00FB0224">
        <w:t xml:space="preserve">ohérence entre </w:t>
      </w:r>
      <w:r>
        <w:t>les états de supervision et les flux de courriers émis par l’AP-HP.</w:t>
      </w:r>
    </w:p>
    <w:p w14:paraId="1A070F38" w14:textId="4C9F43E5" w:rsidR="000F1FAD" w:rsidRPr="00FB0224" w:rsidRDefault="000F1FAD" w:rsidP="00AD78FF">
      <w:pPr>
        <w:pStyle w:val="Corpsdetexte"/>
        <w:ind w:left="284" w:hanging="284"/>
        <w:jc w:val="left"/>
      </w:pPr>
      <w:r>
        <w:t>Moyen de garantir l’objectif :</w:t>
      </w:r>
      <w:r w:rsidR="001B7C1D">
        <w:br/>
        <w:t xml:space="preserve">- </w:t>
      </w:r>
      <w:r>
        <w:t>s</w:t>
      </w:r>
      <w:r w:rsidRPr="00FB0224">
        <w:t>uivi du marché, suivi des engagements,</w:t>
      </w:r>
      <w:r w:rsidR="001B7C1D">
        <w:br/>
        <w:t xml:space="preserve">- </w:t>
      </w:r>
      <w:r>
        <w:t>c</w:t>
      </w:r>
      <w:r w:rsidRPr="00FB0224">
        <w:t>omparaison entre le bordereau et la fiche de livraison,</w:t>
      </w:r>
      <w:r w:rsidR="001B7C1D">
        <w:br/>
        <w:t xml:space="preserve">- </w:t>
      </w:r>
      <w:r>
        <w:t>t</w:t>
      </w:r>
      <w:r w:rsidRPr="00FB0224">
        <w:t>ransparence et exactitude des consommations annoncées par le Centre de Services Editiques.</w:t>
      </w:r>
    </w:p>
    <w:p w14:paraId="6E4D643D" w14:textId="066DC8C6" w:rsidR="00D02CB0" w:rsidRDefault="00D02CB0" w:rsidP="00D02CB0">
      <w:pPr>
        <w:pStyle w:val="Titre3"/>
      </w:pPr>
      <w:bookmarkStart w:id="45" w:name="_Toc201153297"/>
      <w:r>
        <w:t>Respect des délais</w:t>
      </w:r>
      <w:bookmarkEnd w:id="45"/>
    </w:p>
    <w:p w14:paraId="214975D5" w14:textId="6BCBE3D8" w:rsidR="00E12AC6" w:rsidRPr="00B41C5D" w:rsidRDefault="00E12AC6" w:rsidP="004540B7">
      <w:pPr>
        <w:pStyle w:val="ttedeliste"/>
        <w:tabs>
          <w:tab w:val="left" w:pos="567"/>
        </w:tabs>
        <w:ind w:left="284" w:hanging="284"/>
        <w:jc w:val="left"/>
        <w:rPr>
          <w:rFonts w:ascii="Open Sans" w:hAnsi="Open Sans" w:cs="Open Sans"/>
        </w:rPr>
      </w:pPr>
      <w:r w:rsidRPr="00B41C5D">
        <w:rPr>
          <w:rFonts w:ascii="Open Sans" w:hAnsi="Open Sans" w:cs="Open Sans"/>
        </w:rPr>
        <w:t>Indicateurs :</w:t>
      </w:r>
      <w:r w:rsidRPr="00B41C5D">
        <w:rPr>
          <w:rFonts w:ascii="Open Sans" w:hAnsi="Open Sans" w:cs="Open Sans"/>
        </w:rPr>
        <w:br/>
        <w:t>-</w:t>
      </w:r>
      <w:r w:rsidR="004540B7">
        <w:rPr>
          <w:rFonts w:ascii="Open Sans" w:hAnsi="Open Sans" w:cs="Open Sans"/>
        </w:rPr>
        <w:tab/>
      </w:r>
      <w:r w:rsidRPr="00B41C5D">
        <w:rPr>
          <w:rFonts w:ascii="Open Sans" w:hAnsi="Open Sans" w:cs="Open Sans"/>
        </w:rPr>
        <w:t>respect des jalons, du macro-planning et du planning détaillé lors de réalisation de prestations de services.</w:t>
      </w:r>
    </w:p>
    <w:p w14:paraId="43ED5A55" w14:textId="58B6C5C6" w:rsidR="00E12AC6" w:rsidRDefault="00E12AC6" w:rsidP="00E12AC6">
      <w:pPr>
        <w:pStyle w:val="Corpsdetexte"/>
        <w:ind w:left="284" w:hanging="284"/>
        <w:jc w:val="left"/>
        <w:rPr>
          <w:rFonts w:cs="Open Sans"/>
        </w:rPr>
      </w:pPr>
      <w:r w:rsidRPr="00B41C5D">
        <w:rPr>
          <w:rFonts w:cs="Open Sans"/>
        </w:rPr>
        <w:t>Moyen de garantir l’objectif :</w:t>
      </w:r>
      <w:r w:rsidR="00F21C53" w:rsidRPr="00B41C5D">
        <w:rPr>
          <w:rFonts w:cs="Open Sans"/>
        </w:rPr>
        <w:br/>
        <w:t>- t</w:t>
      </w:r>
      <w:r w:rsidRPr="00B41C5D">
        <w:rPr>
          <w:rFonts w:cs="Open Sans"/>
        </w:rPr>
        <w:t>enue et réactualisation du planning, qualité et exactitude de l’information transmise par le Titulaire.</w:t>
      </w:r>
    </w:p>
    <w:p w14:paraId="5910BC48" w14:textId="77777777" w:rsidR="00D02CB0" w:rsidRDefault="00D02CB0" w:rsidP="00D02CB0">
      <w:pPr>
        <w:pStyle w:val="Titre2"/>
      </w:pPr>
      <w:bookmarkStart w:id="46" w:name="_Toc201153298"/>
      <w:r>
        <w:t>Pilotage de la production</w:t>
      </w:r>
      <w:bookmarkEnd w:id="46"/>
    </w:p>
    <w:p w14:paraId="68F57282" w14:textId="14C56ED6" w:rsidR="00D02CB0" w:rsidRDefault="00D02CB0" w:rsidP="00D02CB0">
      <w:pPr>
        <w:pStyle w:val="Titre3"/>
      </w:pPr>
      <w:bookmarkStart w:id="47" w:name="_Toc201153299"/>
      <w:r>
        <w:t>Suivi des documents à produire</w:t>
      </w:r>
      <w:bookmarkEnd w:id="47"/>
    </w:p>
    <w:p w14:paraId="189B6C4E" w14:textId="20312B07" w:rsidR="00F21C53" w:rsidRPr="00B41C5D" w:rsidRDefault="00F21C53" w:rsidP="00F21C53">
      <w:pPr>
        <w:pStyle w:val="ttedeliste"/>
        <w:rPr>
          <w:rFonts w:ascii="Open Sans" w:hAnsi="Open Sans" w:cs="Open Sans"/>
        </w:rPr>
      </w:pPr>
      <w:r w:rsidRPr="00B41C5D">
        <w:rPr>
          <w:rFonts w:ascii="Open Sans" w:hAnsi="Open Sans" w:cs="Open Sans"/>
        </w:rPr>
        <w:t>Dans le respect du contrat d’interfaces en annexe au présent CCTP, le titulaire doit retourner à l’AP</w:t>
      </w:r>
      <w:r w:rsidRPr="00B41C5D">
        <w:rPr>
          <w:rFonts w:ascii="Open Sans" w:hAnsi="Open Sans" w:cs="Open Sans"/>
        </w:rPr>
        <w:noBreakHyphen/>
        <w:t>HP toutes les informations nécessaires, dont elle a besoin :</w:t>
      </w:r>
    </w:p>
    <w:p w14:paraId="1D969F97" w14:textId="03F8637D" w:rsidR="00F21C53" w:rsidRPr="00B41C5D" w:rsidRDefault="00F21C53" w:rsidP="00F21C53">
      <w:pPr>
        <w:pStyle w:val="listesimple"/>
        <w:rPr>
          <w:rFonts w:ascii="Open Sans" w:hAnsi="Open Sans" w:cs="Open Sans"/>
        </w:rPr>
      </w:pPr>
      <w:r w:rsidRPr="00B41C5D">
        <w:rPr>
          <w:rFonts w:ascii="Open Sans" w:hAnsi="Open Sans" w:cs="Open Sans"/>
        </w:rPr>
        <w:t>Le nombre de feuillets imprimés et le nombre de plis réalisés, par filière de production.</w:t>
      </w:r>
    </w:p>
    <w:p w14:paraId="367520A0" w14:textId="7BB44B03" w:rsidR="00F21C53" w:rsidRPr="00B41C5D" w:rsidRDefault="00F21C53" w:rsidP="00F21C53">
      <w:pPr>
        <w:pStyle w:val="Findeliste"/>
        <w:rPr>
          <w:rFonts w:ascii="Open Sans" w:hAnsi="Open Sans" w:cs="Open Sans"/>
        </w:rPr>
      </w:pPr>
      <w:r w:rsidRPr="00B41C5D">
        <w:rPr>
          <w:rFonts w:ascii="Open Sans" w:hAnsi="Open Sans" w:cs="Open Sans"/>
        </w:rPr>
        <w:t>Tous les changements de statuts, horodatés, qui remontent pour chaque pli dans les flux journaliers.</w:t>
      </w:r>
    </w:p>
    <w:p w14:paraId="46715984" w14:textId="77777777" w:rsidR="00F21C53" w:rsidRPr="00B41C5D" w:rsidRDefault="00F21C53" w:rsidP="00F21C53">
      <w:pPr>
        <w:pStyle w:val="Corpsdetexte"/>
        <w:rPr>
          <w:rFonts w:cs="Open Sans"/>
        </w:rPr>
      </w:pPr>
      <w:r w:rsidRPr="00B41C5D">
        <w:rPr>
          <w:rFonts w:cs="Open Sans"/>
        </w:rPr>
        <w:lastRenderedPageBreak/>
        <w:t>Ces informations sont renvoyées par transfert de fichier à l’AP-HP.</w:t>
      </w:r>
    </w:p>
    <w:p w14:paraId="2B93E464" w14:textId="42B3664F" w:rsidR="00D02CB0" w:rsidRDefault="00D02CB0" w:rsidP="00D02CB0">
      <w:pPr>
        <w:pStyle w:val="Titre3"/>
      </w:pPr>
      <w:bookmarkStart w:id="48" w:name="_Toc201153300"/>
      <w:r>
        <w:t>Supervision de la Production – reporting</w:t>
      </w:r>
      <w:bookmarkEnd w:id="48"/>
    </w:p>
    <w:p w14:paraId="07E50A81" w14:textId="77777777" w:rsidR="00F21C53" w:rsidRPr="00B41C5D" w:rsidRDefault="00F21C53" w:rsidP="00F21C53">
      <w:pPr>
        <w:pStyle w:val="Corpsdetexte"/>
        <w:rPr>
          <w:rFonts w:cs="Open Sans"/>
        </w:rPr>
      </w:pPr>
      <w:r w:rsidRPr="00B41C5D">
        <w:rPr>
          <w:rFonts w:cs="Open Sans"/>
        </w:rPr>
        <w:t>Le titulaire met à la disposition de l’AP</w:t>
      </w:r>
      <w:r w:rsidRPr="00B41C5D">
        <w:rPr>
          <w:rFonts w:cs="Open Sans"/>
        </w:rPr>
        <w:noBreakHyphen/>
        <w:t>HP un portail sécurisé comportant les états suivants :</w:t>
      </w:r>
    </w:p>
    <w:p w14:paraId="7A87E1BA" w14:textId="77777777" w:rsidR="00F21C53" w:rsidRPr="00B41C5D" w:rsidRDefault="00F21C53" w:rsidP="00F21C53">
      <w:pPr>
        <w:pStyle w:val="listesimple"/>
        <w:rPr>
          <w:rFonts w:ascii="Open Sans" w:hAnsi="Open Sans" w:cs="Open Sans"/>
        </w:rPr>
      </w:pPr>
      <w:r w:rsidRPr="00B41C5D">
        <w:rPr>
          <w:rFonts w:ascii="Open Sans" w:hAnsi="Open Sans" w:cs="Open Sans"/>
        </w:rPr>
        <w:t>Etat mensuel de production (conservé sur 3 mois glissants) contenant les informations suivantes :</w:t>
      </w:r>
    </w:p>
    <w:p w14:paraId="49EBA0F8"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Date de production</w:t>
      </w:r>
    </w:p>
    <w:p w14:paraId="6F8B226E"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Etat de la production</w:t>
      </w:r>
    </w:p>
    <w:p w14:paraId="47B4DC15"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Nombre de traitements</w:t>
      </w:r>
    </w:p>
    <w:p w14:paraId="006BF0DE"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Nombre de pages total</w:t>
      </w:r>
    </w:p>
    <w:p w14:paraId="480422F4"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Nombre de plis total</w:t>
      </w:r>
    </w:p>
    <w:p w14:paraId="61BDCE38" w14:textId="77777777" w:rsidR="00F21C53" w:rsidRPr="00B41C5D" w:rsidRDefault="00F21C53" w:rsidP="00F21C53">
      <w:pPr>
        <w:rPr>
          <w:rFonts w:cs="Open Sans"/>
        </w:rPr>
      </w:pPr>
    </w:p>
    <w:p w14:paraId="499D2F02" w14:textId="77777777" w:rsidR="00F21C53" w:rsidRPr="00B41C5D" w:rsidRDefault="00F21C53" w:rsidP="00F21C53">
      <w:pPr>
        <w:pStyle w:val="listesimple"/>
        <w:rPr>
          <w:rFonts w:ascii="Open Sans" w:hAnsi="Open Sans" w:cs="Open Sans"/>
        </w:rPr>
      </w:pPr>
      <w:r w:rsidRPr="00B41C5D">
        <w:rPr>
          <w:rFonts w:ascii="Open Sans" w:hAnsi="Open Sans" w:cs="Open Sans"/>
        </w:rPr>
        <w:t>Etat quotidien de production (conservé sur 3 mois glissants) avec, par type de traitement (filière), les informations suivantes :</w:t>
      </w:r>
    </w:p>
    <w:p w14:paraId="2E213273"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Identifiant unique</w:t>
      </w:r>
    </w:p>
    <w:p w14:paraId="4A992DA2"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Niveau d’avancement de production</w:t>
      </w:r>
    </w:p>
    <w:p w14:paraId="7178811B"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Nombre de fichiers</w:t>
      </w:r>
    </w:p>
    <w:p w14:paraId="36FDE02C"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Nombre de pages total</w:t>
      </w:r>
    </w:p>
    <w:p w14:paraId="448DB919"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Nombre de feuilles total</w:t>
      </w:r>
    </w:p>
    <w:p w14:paraId="0C02C801"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Nombre de plis total</w:t>
      </w:r>
    </w:p>
    <w:p w14:paraId="61BF929F" w14:textId="77777777" w:rsidR="00F21C53" w:rsidRPr="00B41C5D" w:rsidRDefault="00F21C53" w:rsidP="00F21C53">
      <w:pPr>
        <w:rPr>
          <w:rFonts w:cs="Open Sans"/>
        </w:rPr>
      </w:pPr>
    </w:p>
    <w:p w14:paraId="0D68C9D0" w14:textId="77777777" w:rsidR="00F21C53" w:rsidRPr="00B41C5D" w:rsidRDefault="00F21C53" w:rsidP="00F21C53">
      <w:pPr>
        <w:pStyle w:val="listesimple"/>
        <w:rPr>
          <w:rFonts w:ascii="Open Sans" w:hAnsi="Open Sans" w:cs="Open Sans"/>
        </w:rPr>
      </w:pPr>
      <w:r w:rsidRPr="00B41C5D">
        <w:rPr>
          <w:rFonts w:ascii="Open Sans" w:hAnsi="Open Sans" w:cs="Open Sans"/>
        </w:rPr>
        <w:t>Etat détaillé de production (conservé sur 3 mois glissants) avec les informations suivantes :</w:t>
      </w:r>
    </w:p>
    <w:p w14:paraId="0812E132"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Identifiant unique des fichiers inclus dans le traitement</w:t>
      </w:r>
    </w:p>
    <w:p w14:paraId="5755EA38" w14:textId="3CBB2B62"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Nom des fichiers inclus dans le traitement (intègre le nom du fichier transféré au titulaire par l’AP</w:t>
      </w:r>
      <w:r w:rsidR="009F6D9D" w:rsidRPr="00B41C5D">
        <w:rPr>
          <w:rFonts w:ascii="Open Sans" w:hAnsi="Open Sans" w:cs="Open Sans"/>
        </w:rPr>
        <w:t>-</w:t>
      </w:r>
      <w:r w:rsidRPr="00B41C5D">
        <w:rPr>
          <w:rFonts w:ascii="Open Sans" w:hAnsi="Open Sans" w:cs="Open Sans"/>
        </w:rPr>
        <w:t>HP)</w:t>
      </w:r>
    </w:p>
    <w:p w14:paraId="160742E2"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Date de réception des fichiers inclus dans le traitement</w:t>
      </w:r>
    </w:p>
    <w:p w14:paraId="2F9D9817"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Etat des éditions (par édition : identifiant, état, nombre de pages, nombre de feuilles)</w:t>
      </w:r>
    </w:p>
    <w:p w14:paraId="4BE088D7"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Etat des mises sous plis (par mise sous pli : identifiant, état, nombre de plis, nombre de pages, nombre de feuilles, date de timbre, type d’affranchissement, type d’enveloppe)</w:t>
      </w:r>
    </w:p>
    <w:p w14:paraId="7FEE7BD0" w14:textId="77777777" w:rsidR="00F21C53" w:rsidRPr="00B41C5D" w:rsidRDefault="00F21C53" w:rsidP="00F21C53">
      <w:pPr>
        <w:rPr>
          <w:rFonts w:cs="Open Sans"/>
        </w:rPr>
      </w:pPr>
    </w:p>
    <w:p w14:paraId="7B10E759" w14:textId="37B3E39B" w:rsidR="00F21C53" w:rsidRPr="00B41C5D" w:rsidRDefault="00F21C53" w:rsidP="00F21C53">
      <w:pPr>
        <w:pStyle w:val="listesimple"/>
        <w:rPr>
          <w:rFonts w:ascii="Open Sans" w:hAnsi="Open Sans" w:cs="Open Sans"/>
        </w:rPr>
      </w:pPr>
      <w:r w:rsidRPr="00B41C5D">
        <w:rPr>
          <w:rFonts w:ascii="Open Sans" w:hAnsi="Open Sans" w:cs="Open Sans"/>
        </w:rPr>
        <w:t>Etat des stocks, contenant, par type de produit stocké pour l’AP</w:t>
      </w:r>
      <w:r w:rsidRPr="00B41C5D">
        <w:rPr>
          <w:rFonts w:ascii="Open Sans" w:hAnsi="Open Sans" w:cs="Open Sans"/>
        </w:rPr>
        <w:noBreakHyphen/>
        <w:t>HP par le titulaire, les informations suivantes :</w:t>
      </w:r>
    </w:p>
    <w:p w14:paraId="52884D39"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Référence unique produit du titulaire</w:t>
      </w:r>
    </w:p>
    <w:p w14:paraId="52076257"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Description détaillée du produit</w:t>
      </w:r>
    </w:p>
    <w:p w14:paraId="00548D42"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Quantité lors du dernier comptage</w:t>
      </w:r>
    </w:p>
    <w:p w14:paraId="46BBD4CC" w14:textId="77777777"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Date du dernier comptage</w:t>
      </w:r>
    </w:p>
    <w:p w14:paraId="2EDF7C50" w14:textId="0B2F81EF" w:rsidR="00F21C53" w:rsidRPr="00B41C5D" w:rsidRDefault="00F21C53" w:rsidP="00F21C53">
      <w:pPr>
        <w:pStyle w:val="listesimple"/>
        <w:numPr>
          <w:ilvl w:val="1"/>
          <w:numId w:val="38"/>
        </w:numPr>
        <w:rPr>
          <w:rFonts w:ascii="Open Sans" w:hAnsi="Open Sans" w:cs="Open Sans"/>
        </w:rPr>
      </w:pPr>
      <w:r w:rsidRPr="00B41C5D">
        <w:rPr>
          <w:rFonts w:ascii="Open Sans" w:hAnsi="Open Sans" w:cs="Open Sans"/>
        </w:rPr>
        <w:t>Stock minimum</w:t>
      </w:r>
    </w:p>
    <w:p w14:paraId="4EB0E7FF" w14:textId="77777777" w:rsidR="00F21C53" w:rsidRPr="00B41C5D" w:rsidRDefault="00F21C53" w:rsidP="00F21C53">
      <w:pPr>
        <w:rPr>
          <w:rFonts w:cs="Open Sans"/>
        </w:rPr>
      </w:pPr>
    </w:p>
    <w:p w14:paraId="73C100CB" w14:textId="77777777" w:rsidR="00F21C53" w:rsidRPr="00B41C5D" w:rsidRDefault="00F21C53" w:rsidP="00F21C53">
      <w:pPr>
        <w:pStyle w:val="Findeliste"/>
        <w:rPr>
          <w:rFonts w:ascii="Open Sans" w:hAnsi="Open Sans" w:cs="Open Sans"/>
        </w:rPr>
      </w:pPr>
      <w:r w:rsidRPr="00B41C5D">
        <w:rPr>
          <w:rFonts w:ascii="Open Sans" w:hAnsi="Open Sans" w:cs="Open Sans"/>
        </w:rPr>
        <w:t>Liste de l’ensemble des incidents répertoriés ayant un impact sur les données de l’AP</w:t>
      </w:r>
      <w:r w:rsidRPr="00B41C5D">
        <w:rPr>
          <w:rFonts w:ascii="Open Sans" w:hAnsi="Open Sans" w:cs="Open Sans"/>
        </w:rPr>
        <w:noBreakHyphen/>
        <w:t>HP ou leurs traitements associés. Cette liste est unique pour le présent marché, débute dès la mise en production éditique, et se clôt au terme du marché.</w:t>
      </w:r>
    </w:p>
    <w:p w14:paraId="4E485FCF" w14:textId="77777777" w:rsidR="00F21C53" w:rsidRPr="00B41C5D" w:rsidRDefault="00F21C53" w:rsidP="00F21C53">
      <w:pPr>
        <w:pStyle w:val="Findeliste"/>
        <w:rPr>
          <w:rFonts w:ascii="Open Sans" w:hAnsi="Open Sans" w:cs="Open Sans"/>
        </w:rPr>
      </w:pPr>
      <w:r w:rsidRPr="00B41C5D">
        <w:rPr>
          <w:rFonts w:ascii="Open Sans" w:hAnsi="Open Sans" w:cs="Open Sans"/>
        </w:rPr>
        <w:t>Etat de facturation au jour le jour (conservé sur une année glissante)</w:t>
      </w:r>
    </w:p>
    <w:p w14:paraId="49906FFA" w14:textId="77777777" w:rsidR="00F21C53" w:rsidRPr="00B41C5D" w:rsidRDefault="00F21C53" w:rsidP="00F21C53">
      <w:pPr>
        <w:pStyle w:val="Corpsdetexte"/>
        <w:rPr>
          <w:rFonts w:cs="Open Sans"/>
        </w:rPr>
      </w:pPr>
      <w:r w:rsidRPr="00B41C5D">
        <w:rPr>
          <w:rFonts w:cs="Open Sans"/>
        </w:rPr>
        <w:t>Une documentation à jour décrivant l’utilisation fonctionnelle du portail est mise à la disposition de l’AP</w:t>
      </w:r>
      <w:r w:rsidRPr="00B41C5D">
        <w:rPr>
          <w:rFonts w:cs="Open Sans"/>
        </w:rPr>
        <w:noBreakHyphen/>
        <w:t>HP durant tout le marché.</w:t>
      </w:r>
    </w:p>
    <w:p w14:paraId="45249340" w14:textId="77777777" w:rsidR="00F21C53" w:rsidRPr="00B41C5D" w:rsidRDefault="00F21C53" w:rsidP="00F21C53">
      <w:pPr>
        <w:pStyle w:val="Corpsdetexte"/>
        <w:rPr>
          <w:rFonts w:cs="Open Sans"/>
        </w:rPr>
      </w:pPr>
      <w:r w:rsidRPr="00B41C5D">
        <w:rPr>
          <w:rFonts w:cs="Open Sans"/>
        </w:rPr>
        <w:t>Les états accessibles sur le portail sont visualisables, et si possible téléchargeables.</w:t>
      </w:r>
    </w:p>
    <w:p w14:paraId="306EFDED" w14:textId="3B99B856" w:rsidR="00D02CB0" w:rsidRDefault="00D02CB0" w:rsidP="00D02CB0">
      <w:pPr>
        <w:pStyle w:val="Titre2"/>
      </w:pPr>
      <w:bookmarkStart w:id="49" w:name="_Toc201153301"/>
      <w:r>
        <w:lastRenderedPageBreak/>
        <w:t>Performance</w:t>
      </w:r>
      <w:bookmarkEnd w:id="49"/>
    </w:p>
    <w:p w14:paraId="544C2BF5" w14:textId="77777777" w:rsidR="00F21C53" w:rsidRPr="00B41C5D" w:rsidRDefault="00F21C53" w:rsidP="00F21C53">
      <w:pPr>
        <w:pStyle w:val="ttedeliste"/>
        <w:rPr>
          <w:rFonts w:ascii="Open Sans" w:hAnsi="Open Sans" w:cs="Open Sans"/>
        </w:rPr>
      </w:pPr>
      <w:r w:rsidRPr="00B41C5D">
        <w:rPr>
          <w:rFonts w:ascii="Open Sans" w:hAnsi="Open Sans" w:cs="Open Sans"/>
        </w:rPr>
        <w:t>Le candidat met en œuvre une organisation et une architecture fonctionnelle et technique du Centre de Services Editiques externalisé :</w:t>
      </w:r>
    </w:p>
    <w:p w14:paraId="093F3BFC" w14:textId="157228F2" w:rsidR="00F21C53" w:rsidRPr="00B41C5D" w:rsidRDefault="00F21C53" w:rsidP="00F21C53">
      <w:pPr>
        <w:pStyle w:val="listesimple"/>
        <w:rPr>
          <w:rFonts w:ascii="Open Sans" w:hAnsi="Open Sans" w:cs="Open Sans"/>
        </w:rPr>
      </w:pPr>
      <w:r w:rsidRPr="00B41C5D">
        <w:rPr>
          <w:rFonts w:ascii="Open Sans" w:hAnsi="Open Sans" w:cs="Open Sans"/>
        </w:rPr>
        <w:t>Dont le lien avec l’AP-HP pour les transferts de fichiers est fluide et performant au regard des volumes de traitements annoncés.</w:t>
      </w:r>
    </w:p>
    <w:p w14:paraId="59ECEE30" w14:textId="35AABD28" w:rsidR="00F21C53" w:rsidRPr="00B41C5D" w:rsidRDefault="00F21C53" w:rsidP="00F21C53">
      <w:pPr>
        <w:pStyle w:val="Findeliste"/>
        <w:rPr>
          <w:rFonts w:ascii="Open Sans" w:hAnsi="Open Sans" w:cs="Open Sans"/>
        </w:rPr>
      </w:pPr>
      <w:r w:rsidRPr="00B41C5D">
        <w:rPr>
          <w:rFonts w:ascii="Open Sans" w:hAnsi="Open Sans" w:cs="Open Sans"/>
        </w:rPr>
        <w:t>Dont les conditions générales de performances attendues sont décrites en suivant.</w:t>
      </w:r>
    </w:p>
    <w:p w14:paraId="46A0092A" w14:textId="08BE81AC" w:rsidR="00D02CB0" w:rsidRDefault="00D02CB0" w:rsidP="00D02CB0">
      <w:pPr>
        <w:pStyle w:val="Titre3"/>
      </w:pPr>
      <w:bookmarkStart w:id="50" w:name="_Toc201153302"/>
      <w:r>
        <w:t>Qualité de la prise en compte et de traitement des courriers</w:t>
      </w:r>
      <w:bookmarkEnd w:id="50"/>
    </w:p>
    <w:p w14:paraId="778820D8" w14:textId="77777777" w:rsidR="00F21C53" w:rsidRDefault="00F21C53" w:rsidP="00F21C53">
      <w:pPr>
        <w:pStyle w:val="Corpsdetexte"/>
      </w:pPr>
      <w:r w:rsidRPr="000C27DE">
        <w:t>En cas de problème sur le site de production du candidat, 1% des documents courriers émis par l’AP-HP vers le Centre de Services Editiques peuvent faire l’objet de réémission par l’AP-HP.</w:t>
      </w:r>
    </w:p>
    <w:p w14:paraId="3C610737" w14:textId="13CF050D" w:rsidR="00F21C53" w:rsidRDefault="00F21C53" w:rsidP="00F21C53">
      <w:pPr>
        <w:pStyle w:val="Corpsdetexte"/>
      </w:pPr>
      <w:r w:rsidRPr="0074251C">
        <w:t>En cas de problème sur le site de production du candidat, 1% d</w:t>
      </w:r>
      <w:r w:rsidR="009F6D9D">
        <w:t>’</w:t>
      </w:r>
      <w:r w:rsidRPr="0074251C">
        <w:t>erreurs d’aiguillage, sont admises. Il s’agit de courriers d’un destinataire se retrouvant dans l’enveloppe d’un autre.</w:t>
      </w:r>
    </w:p>
    <w:p w14:paraId="715E8F7C" w14:textId="0403DF46" w:rsidR="00F21C53" w:rsidRDefault="00F21C53" w:rsidP="00F21C53">
      <w:pPr>
        <w:pStyle w:val="Corpsdetexte"/>
      </w:pPr>
      <w:r>
        <w:t>En phase d’initialisation, dans le PAQ, les dispositions à prendre dans de tels cas sont décrites, ainsi que les conséquences en cas de non-respect du seuil de 1%.</w:t>
      </w:r>
    </w:p>
    <w:p w14:paraId="239940F3" w14:textId="73D9E4B2" w:rsidR="004540B7" w:rsidRDefault="009B4001" w:rsidP="004540B7">
      <w:pPr>
        <w:pStyle w:val="Corpsdetexte"/>
      </w:pPr>
      <w:bookmarkStart w:id="51" w:name="_Hlk195188265"/>
      <w:r w:rsidRPr="00CC1F4E">
        <w:t>L</w:t>
      </w:r>
      <w:r w:rsidR="004540B7" w:rsidRPr="00CC1F4E">
        <w:t xml:space="preserve">’indisponibilité du </w:t>
      </w:r>
      <w:bookmarkStart w:id="52" w:name="_Hlk195188301"/>
      <w:r w:rsidR="004540B7" w:rsidRPr="00CC1F4E">
        <w:t xml:space="preserve">Centre de Services Editiques </w:t>
      </w:r>
      <w:bookmarkEnd w:id="52"/>
      <w:r w:rsidR="004540B7" w:rsidRPr="00CC1F4E">
        <w:t xml:space="preserve">ne doit pas dépasser 1 jour ouvré, ni 5 </w:t>
      </w:r>
      <w:r w:rsidR="00A85CCA" w:rsidRPr="00CC1F4E">
        <w:t xml:space="preserve">fois </w:t>
      </w:r>
      <w:r w:rsidR="004540B7" w:rsidRPr="00CC1F4E">
        <w:t xml:space="preserve">par an. </w:t>
      </w:r>
      <w:r w:rsidRPr="00CC1F4E">
        <w:t>A</w:t>
      </w:r>
      <w:r w:rsidR="004540B7" w:rsidRPr="00CC1F4E">
        <w:t xml:space="preserve">vec </w:t>
      </w:r>
      <w:r w:rsidR="004540B7" w:rsidRPr="00B8337C">
        <w:t xml:space="preserve">rattrapage </w:t>
      </w:r>
      <w:r w:rsidRPr="00B8337C">
        <w:t xml:space="preserve">des transferts au plus tard </w:t>
      </w:r>
      <w:r w:rsidR="004540B7" w:rsidRPr="00B8337C">
        <w:t>à J+2</w:t>
      </w:r>
      <w:r w:rsidRPr="00B8337C">
        <w:t xml:space="preserve">, sous peine de </w:t>
      </w:r>
      <w:r w:rsidR="004540B7" w:rsidRPr="00B8337C">
        <w:t>pénalité</w:t>
      </w:r>
      <w:r w:rsidRPr="00B8337C">
        <w:t>s.</w:t>
      </w:r>
    </w:p>
    <w:p w14:paraId="2EB7B5A6" w14:textId="77777777" w:rsidR="00D02CB0" w:rsidRDefault="00D02CB0" w:rsidP="00D02CB0">
      <w:pPr>
        <w:pStyle w:val="Titre3"/>
      </w:pPr>
      <w:bookmarkStart w:id="53" w:name="_Toc201153303"/>
      <w:bookmarkEnd w:id="51"/>
      <w:r>
        <w:t>Délais de remise en poste ou de distribution</w:t>
      </w:r>
      <w:bookmarkEnd w:id="53"/>
    </w:p>
    <w:p w14:paraId="4A2E1FA0" w14:textId="77777777" w:rsidR="00F21C53" w:rsidRPr="0074251C" w:rsidRDefault="00F21C53" w:rsidP="00F21C53">
      <w:pPr>
        <w:pStyle w:val="Corpsdetexte"/>
      </w:pPr>
      <w:r>
        <w:t xml:space="preserve">La journée, le « jour J », commence à 7h30. </w:t>
      </w:r>
      <w:r w:rsidRPr="0074251C">
        <w:t>J étant les jours ouvrés du lundi au vendredi hors jours fériés.</w:t>
      </w:r>
    </w:p>
    <w:p w14:paraId="66801B15" w14:textId="77777777" w:rsidR="00F21C53" w:rsidRPr="00B41C5D" w:rsidRDefault="00F21C53" w:rsidP="00F21C53">
      <w:pPr>
        <w:pStyle w:val="Corpsdetexte"/>
        <w:rPr>
          <w:rFonts w:cs="Open Sans"/>
        </w:rPr>
      </w:pPr>
      <w:r w:rsidRPr="00B41C5D">
        <w:rPr>
          <w:rFonts w:cs="Open Sans"/>
        </w:rPr>
        <w:t>Les flux reçus après le début du jour J sont traités dans les délais applicables au jour J suivant.</w:t>
      </w:r>
    </w:p>
    <w:p w14:paraId="5B9BEC4A" w14:textId="3B4EAD0E" w:rsidR="00F21C53" w:rsidRPr="00B41C5D" w:rsidRDefault="00F21C53" w:rsidP="00F21C53">
      <w:pPr>
        <w:pStyle w:val="ttedeliste"/>
        <w:rPr>
          <w:rFonts w:ascii="Open Sans" w:hAnsi="Open Sans" w:cs="Open Sans"/>
        </w:rPr>
      </w:pPr>
      <w:r w:rsidRPr="00B41C5D">
        <w:rPr>
          <w:rFonts w:ascii="Open Sans" w:hAnsi="Open Sans" w:cs="Open Sans"/>
        </w:rPr>
        <w:t>Pour les flux reçus avant le début du jour J le Titulaire s’engage à en assurer le dépôt postal dans les délais correspondants aux trois seuils suivants :</w:t>
      </w:r>
    </w:p>
    <w:p w14:paraId="07C4AFCC" w14:textId="77777777" w:rsidR="00F21C53" w:rsidRPr="00B41C5D" w:rsidRDefault="00F21C53" w:rsidP="00F21C53">
      <w:pPr>
        <w:pStyle w:val="listesimple"/>
        <w:rPr>
          <w:rFonts w:ascii="Open Sans" w:hAnsi="Open Sans" w:cs="Open Sans"/>
        </w:rPr>
      </w:pPr>
      <w:r w:rsidRPr="00B41C5D">
        <w:rPr>
          <w:rFonts w:ascii="Open Sans" w:hAnsi="Open Sans" w:cs="Open Sans"/>
        </w:rPr>
        <w:t>30% le jour J</w:t>
      </w:r>
    </w:p>
    <w:p w14:paraId="1F98E194" w14:textId="77777777" w:rsidR="00F21C53" w:rsidRPr="00B41C5D" w:rsidRDefault="00F21C53" w:rsidP="00F21C53">
      <w:pPr>
        <w:pStyle w:val="listesimple"/>
        <w:rPr>
          <w:rFonts w:ascii="Open Sans" w:hAnsi="Open Sans" w:cs="Open Sans"/>
        </w:rPr>
      </w:pPr>
      <w:r w:rsidRPr="00B41C5D">
        <w:rPr>
          <w:rFonts w:ascii="Open Sans" w:hAnsi="Open Sans" w:cs="Open Sans"/>
        </w:rPr>
        <w:t>90% à J+1</w:t>
      </w:r>
    </w:p>
    <w:p w14:paraId="4712B4A5" w14:textId="77777777" w:rsidR="00F21C53" w:rsidRPr="00B41C5D" w:rsidRDefault="00F21C53" w:rsidP="00F21C53">
      <w:pPr>
        <w:pStyle w:val="Findeliste"/>
        <w:rPr>
          <w:rFonts w:ascii="Open Sans" w:hAnsi="Open Sans" w:cs="Open Sans"/>
        </w:rPr>
      </w:pPr>
      <w:r w:rsidRPr="00B41C5D">
        <w:rPr>
          <w:rFonts w:ascii="Open Sans" w:hAnsi="Open Sans" w:cs="Open Sans"/>
        </w:rPr>
        <w:t>100% à J+2</w:t>
      </w:r>
    </w:p>
    <w:p w14:paraId="33A8FB87" w14:textId="77777777" w:rsidR="00F21C53" w:rsidRPr="00B41C5D" w:rsidRDefault="00F21C53" w:rsidP="00F21C53">
      <w:pPr>
        <w:pStyle w:val="ttedeliste"/>
        <w:rPr>
          <w:rFonts w:ascii="Open Sans" w:hAnsi="Open Sans" w:cs="Open Sans"/>
        </w:rPr>
      </w:pPr>
      <w:r w:rsidRPr="00B41C5D">
        <w:rPr>
          <w:rFonts w:ascii="Open Sans" w:hAnsi="Open Sans" w:cs="Open Sans"/>
        </w:rPr>
        <w:t>Sous peine de pénalités, la performance mensuelle du service s’évalue sur la base des indicateurs « Qualité de Service » correspondant au trois seuils précédents, soit :</w:t>
      </w:r>
    </w:p>
    <w:p w14:paraId="74C63EDC" w14:textId="77777777" w:rsidR="00F21C53" w:rsidRPr="00B41C5D" w:rsidRDefault="00F21C53" w:rsidP="00F21C53">
      <w:pPr>
        <w:pStyle w:val="listesimple"/>
        <w:rPr>
          <w:rFonts w:ascii="Open Sans" w:hAnsi="Open Sans" w:cs="Open Sans"/>
        </w:rPr>
      </w:pPr>
      <w:r w:rsidRPr="00B41C5D">
        <w:rPr>
          <w:rFonts w:ascii="Open Sans" w:hAnsi="Open Sans" w:cs="Open Sans"/>
        </w:rPr>
        <w:t>QS1 taux de plis remis en poste ou distribués à J</w:t>
      </w:r>
    </w:p>
    <w:p w14:paraId="74666F6F" w14:textId="77777777" w:rsidR="00F21C53" w:rsidRPr="00B41C5D" w:rsidRDefault="00F21C53" w:rsidP="00F21C53">
      <w:pPr>
        <w:pStyle w:val="listesimple"/>
        <w:rPr>
          <w:rFonts w:ascii="Open Sans" w:hAnsi="Open Sans" w:cs="Open Sans"/>
        </w:rPr>
      </w:pPr>
      <w:r w:rsidRPr="00B41C5D">
        <w:rPr>
          <w:rFonts w:ascii="Open Sans" w:hAnsi="Open Sans" w:cs="Open Sans"/>
        </w:rPr>
        <w:t>QS2 taux de plis remis en poste ou distribués à J+1</w:t>
      </w:r>
    </w:p>
    <w:p w14:paraId="18CDFCB9" w14:textId="77777777" w:rsidR="00F21C53" w:rsidRPr="00B41C5D" w:rsidRDefault="00F21C53" w:rsidP="00F21C53">
      <w:pPr>
        <w:pStyle w:val="listesimple"/>
        <w:rPr>
          <w:rFonts w:ascii="Open Sans" w:hAnsi="Open Sans" w:cs="Open Sans"/>
        </w:rPr>
      </w:pPr>
      <w:r w:rsidRPr="00B41C5D">
        <w:rPr>
          <w:rFonts w:ascii="Open Sans" w:hAnsi="Open Sans" w:cs="Open Sans"/>
        </w:rPr>
        <w:t>QS3 taux de plis remis en poste ou distribués à J+2</w:t>
      </w:r>
    </w:p>
    <w:p w14:paraId="31650160" w14:textId="77777777" w:rsidR="00F21C53" w:rsidRPr="00B41C5D" w:rsidRDefault="00F21C53" w:rsidP="00F21C53">
      <w:pPr>
        <w:pStyle w:val="ttedeliste"/>
        <w:rPr>
          <w:rFonts w:ascii="Open Sans" w:hAnsi="Open Sans" w:cs="Open Sans"/>
        </w:rPr>
      </w:pPr>
      <w:r w:rsidRPr="00B41C5D">
        <w:rPr>
          <w:rFonts w:ascii="Open Sans" w:hAnsi="Open Sans" w:cs="Open Sans"/>
        </w:rPr>
        <w:t>Modalités de calculs :</w:t>
      </w:r>
    </w:p>
    <w:p w14:paraId="0AF2943F" w14:textId="3651018A" w:rsidR="00F21C53" w:rsidRPr="00CC1F4E" w:rsidRDefault="00F21C53" w:rsidP="00F21C53">
      <w:pPr>
        <w:pStyle w:val="listesimple"/>
        <w:rPr>
          <w:rFonts w:ascii="Open Sans" w:hAnsi="Open Sans" w:cs="Open Sans"/>
        </w:rPr>
      </w:pPr>
      <w:r w:rsidRPr="00CC1F4E">
        <w:rPr>
          <w:rFonts w:ascii="Open Sans" w:hAnsi="Open Sans" w:cs="Open Sans"/>
        </w:rPr>
        <w:t xml:space="preserve">Le calcul des taux QS1, QS2 et QS3 est établi </w:t>
      </w:r>
      <w:r w:rsidR="005C5FBB" w:rsidRPr="00CC1F4E">
        <w:rPr>
          <w:rFonts w:ascii="Open Sans" w:hAnsi="Open Sans" w:cs="Open Sans"/>
        </w:rPr>
        <w:t>en</w:t>
      </w:r>
      <w:r w:rsidRPr="00CC1F4E">
        <w:rPr>
          <w:rFonts w:ascii="Open Sans" w:hAnsi="Open Sans" w:cs="Open Sans"/>
        </w:rPr>
        <w:t xml:space="preserve"> pli</w:t>
      </w:r>
      <w:r w:rsidR="005C5FBB" w:rsidRPr="00CC1F4E">
        <w:rPr>
          <w:rFonts w:ascii="Open Sans" w:hAnsi="Open Sans" w:cs="Open Sans"/>
        </w:rPr>
        <w:t>s, pour l’ensemble du mois</w:t>
      </w:r>
      <w:r w:rsidRPr="00CC1F4E">
        <w:rPr>
          <w:rFonts w:ascii="Open Sans" w:hAnsi="Open Sans" w:cs="Open Sans"/>
        </w:rPr>
        <w:t>.</w:t>
      </w:r>
    </w:p>
    <w:p w14:paraId="172DFC99" w14:textId="4576A8B8" w:rsidR="00F21C53" w:rsidRPr="00B41C5D" w:rsidRDefault="00F21C53" w:rsidP="00F21C53">
      <w:pPr>
        <w:pStyle w:val="listesimple"/>
        <w:rPr>
          <w:rFonts w:ascii="Open Sans" w:hAnsi="Open Sans" w:cs="Open Sans"/>
        </w:rPr>
      </w:pPr>
      <w:r w:rsidRPr="00B41C5D">
        <w:rPr>
          <w:rFonts w:ascii="Open Sans" w:hAnsi="Open Sans" w:cs="Open Sans"/>
        </w:rPr>
        <w:t>Le délai démarre à la date et l’heure d’acquittement par le Centre de Services Editiques de la réception du flux contenant les documents.</w:t>
      </w:r>
    </w:p>
    <w:p w14:paraId="5A40268A" w14:textId="42DC801C" w:rsidR="00F21C53" w:rsidRPr="00B41C5D" w:rsidRDefault="00F21C53" w:rsidP="00F21C53">
      <w:pPr>
        <w:pStyle w:val="listesimple"/>
        <w:rPr>
          <w:rFonts w:ascii="Open Sans" w:hAnsi="Open Sans" w:cs="Open Sans"/>
        </w:rPr>
      </w:pPr>
      <w:r w:rsidRPr="00B41C5D">
        <w:rPr>
          <w:rFonts w:ascii="Open Sans" w:hAnsi="Open Sans" w:cs="Open Sans"/>
        </w:rPr>
        <w:t>La date et l’heure inscrites sur le bordereau de remise en Poste, marquent la fin du délai.</w:t>
      </w:r>
    </w:p>
    <w:p w14:paraId="6A13555F" w14:textId="3A48ECE1" w:rsidR="00F21C53" w:rsidRPr="00B41C5D" w:rsidRDefault="00F21C53" w:rsidP="00F21C53">
      <w:pPr>
        <w:pStyle w:val="listesimple"/>
        <w:rPr>
          <w:rFonts w:ascii="Open Sans" w:hAnsi="Open Sans" w:cs="Open Sans"/>
        </w:rPr>
      </w:pPr>
      <w:r w:rsidRPr="00B41C5D">
        <w:rPr>
          <w:rFonts w:ascii="Open Sans" w:hAnsi="Open Sans" w:cs="Open Sans"/>
        </w:rPr>
        <w:t>Les acquittements de réceptions et les remises sont effectués par flux de documents.</w:t>
      </w:r>
    </w:p>
    <w:p w14:paraId="02BF042B" w14:textId="0F67B717" w:rsidR="00F21C53" w:rsidRPr="00B41C5D" w:rsidRDefault="00F21C53" w:rsidP="00F21C53">
      <w:pPr>
        <w:pStyle w:val="listesimple"/>
        <w:rPr>
          <w:rFonts w:ascii="Open Sans" w:hAnsi="Open Sans" w:cs="Open Sans"/>
        </w:rPr>
      </w:pPr>
      <w:r w:rsidRPr="00B41C5D">
        <w:rPr>
          <w:rFonts w:ascii="Open Sans" w:hAnsi="Open Sans" w:cs="Open Sans"/>
        </w:rPr>
        <w:t>Le Titulaire s’assure de l’appartenance de chaque pli au flux traité.</w:t>
      </w:r>
    </w:p>
    <w:p w14:paraId="750F9340" w14:textId="77777777" w:rsidR="00F21C53" w:rsidRPr="00B41C5D" w:rsidRDefault="00F21C53" w:rsidP="00F21C53">
      <w:pPr>
        <w:pStyle w:val="Corpsdetexte"/>
        <w:rPr>
          <w:rFonts w:cs="Open Sans"/>
        </w:rPr>
      </w:pPr>
      <w:r w:rsidRPr="00B41C5D">
        <w:rPr>
          <w:rFonts w:cs="Open Sans"/>
        </w:rPr>
        <w:t>En ce qui concerne le taux de documents réémis par l’AP-HP ou le taux d’erreurs d’aiguillage, et en cas de retard de remise en poste ou de délivrance en interne, c’est la date et l’heure d’acquittement de la première réception des documents par le Centre de Services Editiques qui fait foi.</w:t>
      </w:r>
    </w:p>
    <w:p w14:paraId="7190EFD7" w14:textId="675E9273" w:rsidR="00F21C53" w:rsidRDefault="00F21C53" w:rsidP="00F21C53">
      <w:pPr>
        <w:pStyle w:val="Corpsdetexte"/>
        <w:rPr>
          <w:rFonts w:cs="Open Sans"/>
        </w:rPr>
      </w:pPr>
      <w:r w:rsidRPr="00B41C5D">
        <w:rPr>
          <w:rFonts w:cs="Open Sans"/>
        </w:rPr>
        <w:t>Le CCAP précise les calculs de pénalités applicables en cas de dépassement de délai.</w:t>
      </w:r>
    </w:p>
    <w:p w14:paraId="4715CAF8" w14:textId="3256CE13" w:rsidR="00F721B4" w:rsidRDefault="00F721B4" w:rsidP="00F721B4">
      <w:pPr>
        <w:pStyle w:val="Titre1"/>
      </w:pPr>
      <w:bookmarkStart w:id="54" w:name="_Toc201153304"/>
      <w:r>
        <w:lastRenderedPageBreak/>
        <w:t>CONTINUITE DE SERVICE</w:t>
      </w:r>
      <w:bookmarkEnd w:id="54"/>
    </w:p>
    <w:p w14:paraId="1224F718" w14:textId="77777777" w:rsidR="00F21C53" w:rsidRDefault="00F21C53" w:rsidP="00F21C53">
      <w:pPr>
        <w:pStyle w:val="Corpsdetexte"/>
      </w:pPr>
      <w:r>
        <w:t>L</w:t>
      </w:r>
      <w:r w:rsidRPr="006232B9">
        <w:t xml:space="preserve">e Titulaire </w:t>
      </w:r>
      <w:r>
        <w:t xml:space="preserve">doit sécuriser </w:t>
      </w:r>
      <w:r w:rsidRPr="006232B9">
        <w:t xml:space="preserve">l’ensemble des informations et des traitements qu’il traite ou produit dans ses locaux et plus généralement au sein de son propre Système d’Information. Il </w:t>
      </w:r>
      <w:r>
        <w:t xml:space="preserve">doit y inclure </w:t>
      </w:r>
      <w:r w:rsidRPr="006232B9">
        <w:t>les données traitées et les traitements lancés dans le cadre du présent marché</w:t>
      </w:r>
      <w:r>
        <w:t>, notamment dans le cadre de son PRA/PCA.</w:t>
      </w:r>
    </w:p>
    <w:p w14:paraId="2F281FC6" w14:textId="77777777" w:rsidR="00F21C53" w:rsidRDefault="00F21C53" w:rsidP="00F21C53">
      <w:pPr>
        <w:pStyle w:val="Corpsdetexte"/>
      </w:pPr>
      <w:r>
        <w:t>En cas d’incident bloquant ou mineur dans ses installations, le Titulaire propose à l’AP-HP un Processus de Continuité de l’Activité sans impact sur la performance des services fournis et sans impact organisationnel, technique ou logistique pour l’AP-HP.</w:t>
      </w:r>
    </w:p>
    <w:p w14:paraId="345973FE" w14:textId="6D628A86" w:rsidR="00D02CB0" w:rsidRDefault="00D02CB0" w:rsidP="00D02CB0">
      <w:pPr>
        <w:pStyle w:val="Titre2"/>
      </w:pPr>
      <w:bookmarkStart w:id="55" w:name="_Toc201153305"/>
      <w:r>
        <w:t>Traitement des incidents et litiges – principe d’escalade</w:t>
      </w:r>
      <w:bookmarkEnd w:id="55"/>
    </w:p>
    <w:p w14:paraId="43B50F9B" w14:textId="77777777" w:rsidR="00F21C53" w:rsidRDefault="00F21C53" w:rsidP="00F21C53">
      <w:pPr>
        <w:pStyle w:val="Corpsdetexte"/>
      </w:pPr>
      <w:r>
        <w:t>Les incidents opérationnels graves, les litiges urgents, les défauts de qualité majeurs et tout autre événement ne pouvant s’inscrire dans ces catégories devront faire l’objet d’une procédure d’escalade.</w:t>
      </w:r>
    </w:p>
    <w:p w14:paraId="14248ECB" w14:textId="77777777" w:rsidR="00F21C53" w:rsidRDefault="00F21C53" w:rsidP="00F21C53">
      <w:pPr>
        <w:pStyle w:val="Corpsdetexte"/>
      </w:pPr>
      <w:r>
        <w:t>Cette procédure est invocable à tout moment par les différents acteurs de l’AP-HP, et donne lieu à une convocation, envoyée par l’initiateur précisant l’ordre du jour et les participants.</w:t>
      </w:r>
    </w:p>
    <w:p w14:paraId="6C70EA3B" w14:textId="5AE188B8" w:rsidR="00F721B4" w:rsidRDefault="00D02CB0" w:rsidP="00D02CB0">
      <w:pPr>
        <w:pStyle w:val="Titre2"/>
      </w:pPr>
      <w:bookmarkStart w:id="56" w:name="_Toc201153306"/>
      <w:r>
        <w:t>Plan de Reprise ou de Continuité d’Activité</w:t>
      </w:r>
      <w:bookmarkEnd w:id="56"/>
    </w:p>
    <w:p w14:paraId="57E2E3AE" w14:textId="77777777" w:rsidR="00F21C53" w:rsidRDefault="00F21C53" w:rsidP="00F21C53">
      <w:pPr>
        <w:pStyle w:val="Corpsdetexte"/>
      </w:pPr>
      <w:r>
        <w:t>En cas de site inaccessible ou sinistré le titulaire garantit que les flux émis par l’AP-HP arrivent sur les sites de repli, de façon transparente. Des renvois de flux en cours de transfert et perturbés lors de la panne sont admis.</w:t>
      </w:r>
    </w:p>
    <w:p w14:paraId="364562B4" w14:textId="77777777" w:rsidR="00F21C53" w:rsidRDefault="00F21C53" w:rsidP="00F21C53">
      <w:pPr>
        <w:pStyle w:val="Corpsdetexte"/>
      </w:pPr>
      <w:r>
        <w:t>En cas de déclenchement d’un PRA/PCA justifié par le Titulaire, PRA concernant les données de l’AP-HP et les traitements associés, il sera admis par l’AP-HP un retard exceptionnel de 2 jours ouvrés sur les délais des services fournis. Au-delà, l’AP-HP considèrera que la qualité de services attendue est déficiente et, sur la base des dispositions prévues au marché avec des délais majorés de 2 jours, des pénalités pourront être réclamées au Titulaire.</w:t>
      </w:r>
    </w:p>
    <w:p w14:paraId="1EE85ABA" w14:textId="77777777" w:rsidR="00F21C53" w:rsidRDefault="00F21C53" w:rsidP="00F21C53">
      <w:pPr>
        <w:pStyle w:val="Corpsdetexte"/>
      </w:pPr>
      <w:r>
        <w:t>P</w:t>
      </w:r>
      <w:r w:rsidRPr="002C14E1">
        <w:t xml:space="preserve">our assumer </w:t>
      </w:r>
      <w:r>
        <w:t xml:space="preserve">la continuité ou </w:t>
      </w:r>
      <w:r w:rsidRPr="002C14E1">
        <w:t>la reprise de toute la charge sur les sites restants</w:t>
      </w:r>
      <w:r w:rsidRPr="00893D33">
        <w:t xml:space="preserve">, y compris pour les </w:t>
      </w:r>
      <w:r>
        <w:t>lots importants tels que ceux des bulletins de salaires</w:t>
      </w:r>
      <w:r w:rsidRPr="002C14E1">
        <w:t xml:space="preserve">, </w:t>
      </w:r>
      <w:r>
        <w:t xml:space="preserve">le titulaire s’assure </w:t>
      </w:r>
      <w:r w:rsidRPr="002C14E1">
        <w:t>que la production en temps normal préserve un taux de disponibilité</w:t>
      </w:r>
      <w:r>
        <w:t xml:space="preserve"> suffisant. A</w:t>
      </w:r>
      <w:r w:rsidRPr="002C14E1">
        <w:t>u moins 40%</w:t>
      </w:r>
      <w:r>
        <w:t xml:space="preserve"> en cas de bascule entre deux sites similaires.</w:t>
      </w:r>
    </w:p>
    <w:p w14:paraId="52ED420C" w14:textId="77777777" w:rsidR="00F21C53" w:rsidRDefault="00F21C53" w:rsidP="00F21C53">
      <w:pPr>
        <w:pStyle w:val="Corpsdetexte"/>
      </w:pPr>
      <w:r>
        <w:t>Le titulaire doit être en mesure de présenter et d’activer (pour mesure d’efficacité) le PCA/PRA à l’AP-HP à tout moment sur demande.</w:t>
      </w:r>
    </w:p>
    <w:p w14:paraId="14B1CEDE" w14:textId="0932BA9C" w:rsidR="00F721B4" w:rsidRDefault="00F721B4" w:rsidP="00F721B4">
      <w:pPr>
        <w:pStyle w:val="Titre1"/>
      </w:pPr>
      <w:bookmarkStart w:id="57" w:name="_Toc201153307"/>
      <w:r>
        <w:t>CONFIDENTIALITE</w:t>
      </w:r>
      <w:bookmarkEnd w:id="57"/>
    </w:p>
    <w:p w14:paraId="4462D071" w14:textId="018EDA4E" w:rsidR="00F21C53" w:rsidRDefault="00F21C53" w:rsidP="00F21C53">
      <w:pPr>
        <w:pStyle w:val="Corpsdetexte"/>
      </w:pPr>
      <w:r>
        <w:t xml:space="preserve">En ce qui concerne l’information appartenant à l’AP-HP, dont le titulaire est dépositaire du fait de son traitement dans ses locaux, le Titulaire doit se soumettre aux exigences de sécurité du SI de l’AP-HP, afin d’en assurer la sécurité en termes de confidentialité, d’intégrité et de disponibilité. Le Titulaire doit se conformer au document </w:t>
      </w:r>
      <w:r w:rsidR="004951DB">
        <w:t>relatif à la « </w:t>
      </w:r>
      <w:r w:rsidR="004951DB" w:rsidRPr="004951DB">
        <w:t>Sécurité dans la relation avec les Fournisseurs</w:t>
      </w:r>
      <w:r w:rsidR="004951DB">
        <w:t xml:space="preserve"> » </w:t>
      </w:r>
      <w:r>
        <w:t>figurant en annexe au présent CCTP.</w:t>
      </w:r>
    </w:p>
    <w:p w14:paraId="3BCA6C76" w14:textId="746EB03F" w:rsidR="00D02CB0" w:rsidRDefault="00D02CB0" w:rsidP="00D02CB0">
      <w:pPr>
        <w:pStyle w:val="Titre2"/>
      </w:pPr>
      <w:bookmarkStart w:id="58" w:name="_Toc201153308"/>
      <w:r>
        <w:t>Données de santé</w:t>
      </w:r>
      <w:bookmarkEnd w:id="58"/>
    </w:p>
    <w:p w14:paraId="5F370103" w14:textId="77777777" w:rsidR="00F21C53" w:rsidRDefault="00F21C53" w:rsidP="00F21C53">
      <w:pPr>
        <w:pStyle w:val="Corpsdetexte"/>
      </w:pPr>
      <w:r>
        <w:t>Les flux reçus par le titulaire peuvent véhiculer des données de santé personnelles, hautement sensibles. Le Titulaire s’engage à maintenir la confidentialité de ces informations qui lui sont confiées. Cela concerne autant l’accès physique que l’accès logique à ces informations, en interne comme en externe au Titulaire.</w:t>
      </w:r>
    </w:p>
    <w:p w14:paraId="5C2EC2E1" w14:textId="77777777" w:rsidR="00F21C53" w:rsidRDefault="00F21C53" w:rsidP="00F21C53">
      <w:pPr>
        <w:pStyle w:val="Corpsdetexte"/>
      </w:pPr>
      <w:r>
        <w:t>Les installations et systèmes utilisés dans le cadre des prestations doivent permettre la mise en œuvre sans restriction du Code de la santé publique, dont l’article L1110-4 indique entre autres :</w:t>
      </w:r>
    </w:p>
    <w:p w14:paraId="08F71612" w14:textId="77777777" w:rsidR="00F21C53" w:rsidRDefault="00F21C53" w:rsidP="00F21C53">
      <w:pPr>
        <w:pStyle w:val="Corpsdetexte"/>
      </w:pPr>
      <w:r>
        <w:lastRenderedPageBreak/>
        <w:t>« I.- Toute personne prise en charge par un professionnel de santé, un établissement ou service, un professionnel ou organisme concourant à la prévention ou aux soins dont les conditions d'exercice ou les activités sont régies par le présent code, le service de santé des armées, un professionnel du secteur médico-social ou social ou un établissement ou service social et médico-social mentionné au I de l'article L. 312-1 du code de l'action sociale et des familles a droit au respect de sa vie privée et du secret des informations la concernant.</w:t>
      </w:r>
    </w:p>
    <w:p w14:paraId="0A166C56" w14:textId="77777777" w:rsidR="00F21C53" w:rsidRDefault="00F21C53" w:rsidP="00F21C53">
      <w:pPr>
        <w:pStyle w:val="Corpsdetexte"/>
      </w:pPr>
      <w:r>
        <w:t xml:space="preserve">Excepté dans les cas de dérogation expressément prévus par la loi, </w:t>
      </w:r>
      <w:r w:rsidRPr="00DB6FAB">
        <w:rPr>
          <w:b/>
        </w:rPr>
        <w:t>ce secret couvre l'ensemble des informations</w:t>
      </w:r>
      <w:r>
        <w:rPr>
          <w:b/>
        </w:rPr>
        <w:t>,</w:t>
      </w:r>
      <w:r>
        <w:t xml:space="preserve"> concernant la personne, </w:t>
      </w:r>
      <w:r w:rsidRPr="00DB6FAB">
        <w:rPr>
          <w:b/>
        </w:rPr>
        <w:t>venues à la connaissance</w:t>
      </w:r>
      <w:r>
        <w:t xml:space="preserve"> du professionnel, de tout membre du personnel de ces établissements, services ou organismes et </w:t>
      </w:r>
      <w:r w:rsidRPr="00DB6FAB">
        <w:rPr>
          <w:b/>
        </w:rPr>
        <w:t>de toute autre personne en relation, de par ses activités, avec ces établissements ou organismes</w:t>
      </w:r>
      <w:r>
        <w:t>. Il s'impose à tous les professionnels intervenant dans le système de santé. »</w:t>
      </w:r>
    </w:p>
    <w:p w14:paraId="6F7EE89C" w14:textId="385FD1EA" w:rsidR="00D02CB0" w:rsidRDefault="00D02CB0" w:rsidP="00D02CB0">
      <w:pPr>
        <w:pStyle w:val="Titre2"/>
      </w:pPr>
      <w:bookmarkStart w:id="59" w:name="_Toc201153309"/>
      <w:r>
        <w:t>Intégrité des données</w:t>
      </w:r>
      <w:bookmarkEnd w:id="59"/>
    </w:p>
    <w:p w14:paraId="2116F3ED" w14:textId="77777777" w:rsidR="00F21C53" w:rsidRDefault="00F21C53" w:rsidP="00F21C53">
      <w:pPr>
        <w:pStyle w:val="Corpsdetexte"/>
      </w:pPr>
      <w:r>
        <w:t xml:space="preserve">Sauf demande spécifique de l’AP-HP, le Titulaire ne doit en aucun cas modifier ou altérer les données qui lui sont transmises pour impressions, mises sous plis, affranchissement et un routage postal ou interne AP-HP. </w:t>
      </w:r>
    </w:p>
    <w:p w14:paraId="0EE80BCC" w14:textId="089FC896" w:rsidR="00D02CB0" w:rsidRDefault="00D02CB0" w:rsidP="00D02CB0">
      <w:pPr>
        <w:pStyle w:val="Titre2"/>
      </w:pPr>
      <w:bookmarkStart w:id="60" w:name="_Toc201153310"/>
      <w:r>
        <w:t>Erreurs d’aiguillages</w:t>
      </w:r>
      <w:bookmarkEnd w:id="60"/>
    </w:p>
    <w:p w14:paraId="25E93367" w14:textId="77777777" w:rsidR="00F21C53" w:rsidRDefault="00F21C53" w:rsidP="00F21C53">
      <w:pPr>
        <w:pStyle w:val="Corpsdetexte"/>
      </w:pPr>
      <w:r>
        <w:t xml:space="preserve">Tous les courriers envoyés en production doivent être remis au bon destinataire. </w:t>
      </w:r>
      <w:r w:rsidRPr="00DB6FAB">
        <w:rPr>
          <w:b/>
        </w:rPr>
        <w:t>Les erreurs d’aiguillage de courriers doivent être signalées rapidement, leurs causes réparées</w:t>
      </w:r>
      <w:r>
        <w:t xml:space="preserve">. </w:t>
      </w:r>
    </w:p>
    <w:p w14:paraId="7E65B43B" w14:textId="77777777" w:rsidR="00F21C53" w:rsidRDefault="00F21C53" w:rsidP="00F21C53">
      <w:pPr>
        <w:pStyle w:val="Corpsdetexte"/>
      </w:pPr>
      <w:r>
        <w:t>Ces erreurs sont listées dans le Tableau des Incidents dont il est fait référence au paragraphe précédent et relatif à la supervision de la production.</w:t>
      </w:r>
    </w:p>
    <w:p w14:paraId="2E53DE12" w14:textId="77777777" w:rsidR="00D02CB0" w:rsidRDefault="00D02CB0" w:rsidP="00D02CB0">
      <w:pPr>
        <w:pStyle w:val="Titre2"/>
      </w:pPr>
      <w:bookmarkStart w:id="61" w:name="_Toc201153311"/>
      <w:r>
        <w:t>Conservation des Informations</w:t>
      </w:r>
      <w:bookmarkEnd w:id="61"/>
    </w:p>
    <w:p w14:paraId="72833E93" w14:textId="77777777" w:rsidR="00F21C53" w:rsidRDefault="00F21C53" w:rsidP="00F21C53">
      <w:pPr>
        <w:pStyle w:val="Corpsdetexte"/>
      </w:pPr>
      <w:r>
        <w:t>Pendant la phase de production, le Titulaire peut conserver les flux informatiques qui lui sont transmis jusqu’à la fin totale de leurs traitements respectifs. Cette opération ne peut dépasser 15 jours ouvrés.</w:t>
      </w:r>
    </w:p>
    <w:p w14:paraId="43932123" w14:textId="2104B58C" w:rsidR="00F721B4" w:rsidRDefault="00F721B4" w:rsidP="00F721B4">
      <w:pPr>
        <w:pStyle w:val="Titre1"/>
      </w:pPr>
      <w:bookmarkStart w:id="62" w:name="_Toc201153312"/>
      <w:r>
        <w:t>REGLEMENTATIONS, NORMES, RECOMMANDATIONS</w:t>
      </w:r>
      <w:bookmarkEnd w:id="62"/>
    </w:p>
    <w:p w14:paraId="6940539C" w14:textId="77777777" w:rsidR="00F21C53" w:rsidRDefault="00F21C53" w:rsidP="00F21C53">
      <w:pPr>
        <w:pStyle w:val="Corpsdetexte"/>
        <w:keepNext/>
      </w:pPr>
      <w:r w:rsidRPr="002A5B0C">
        <w:t>Les prestations et fournitures du titulaire doivent respecter les règlementations, états de l’art</w:t>
      </w:r>
      <w:r>
        <w:t>,</w:t>
      </w:r>
      <w:r w:rsidRPr="002A5B0C">
        <w:t xml:space="preserve"> normes </w:t>
      </w:r>
      <w:r>
        <w:t xml:space="preserve">et standards </w:t>
      </w:r>
      <w:r w:rsidRPr="002A5B0C">
        <w:t>en vigueur :</w:t>
      </w:r>
    </w:p>
    <w:p w14:paraId="48D43B67" w14:textId="215398D5" w:rsidR="00D02CB0" w:rsidRDefault="00D02CB0" w:rsidP="00D02CB0">
      <w:pPr>
        <w:pStyle w:val="Titre2"/>
      </w:pPr>
      <w:bookmarkStart w:id="63" w:name="_Toc201153313"/>
      <w:r>
        <w:t>Standards de LA POSTE</w:t>
      </w:r>
      <w:bookmarkEnd w:id="63"/>
    </w:p>
    <w:p w14:paraId="1FCA6A03" w14:textId="77777777" w:rsidR="00F21C53" w:rsidRPr="00B41C5D" w:rsidRDefault="00F21C53" w:rsidP="00F21C53">
      <w:pPr>
        <w:pStyle w:val="ttedeliste"/>
        <w:rPr>
          <w:rFonts w:ascii="Open Sans" w:hAnsi="Open Sans" w:cs="Open Sans"/>
        </w:rPr>
      </w:pPr>
      <w:r w:rsidRPr="00B41C5D">
        <w:rPr>
          <w:rFonts w:ascii="Open Sans" w:hAnsi="Open Sans" w:cs="Open Sans"/>
        </w:rPr>
        <w:t>Le Titulaire doit respecter les standards de LA POSTE, et les normes associées, en matière de courrier industriel car il lui revient :</w:t>
      </w:r>
    </w:p>
    <w:p w14:paraId="3351AC03" w14:textId="72905B79" w:rsidR="00F21C53" w:rsidRPr="00B41C5D" w:rsidRDefault="00F21C53" w:rsidP="00F21C53">
      <w:pPr>
        <w:pStyle w:val="listesimple"/>
        <w:rPr>
          <w:rFonts w:ascii="Open Sans" w:hAnsi="Open Sans" w:cs="Open Sans"/>
        </w:rPr>
      </w:pPr>
      <w:r w:rsidRPr="00B41C5D">
        <w:rPr>
          <w:rFonts w:ascii="Open Sans" w:hAnsi="Open Sans" w:cs="Open Sans"/>
        </w:rPr>
        <w:t>D'affranchir les plis de façon à ce que LA POSTE facture directement les coûts affranchissement à l’AP-HP sur son contrat d’affranchissement de courrier industriel V3, et plus tard CI PREMIUM.</w:t>
      </w:r>
    </w:p>
    <w:p w14:paraId="5F40CE66" w14:textId="69840709" w:rsidR="00F21C53" w:rsidRPr="00B41C5D" w:rsidRDefault="00B97592" w:rsidP="00F21C53">
      <w:pPr>
        <w:pStyle w:val="listesimple"/>
        <w:rPr>
          <w:rFonts w:ascii="Open Sans" w:hAnsi="Open Sans" w:cs="Open Sans"/>
        </w:rPr>
      </w:pPr>
      <w:r w:rsidRPr="00B41C5D">
        <w:rPr>
          <w:rFonts w:ascii="Open Sans" w:hAnsi="Open Sans" w:cs="Open Sans"/>
        </w:rPr>
        <w:t>D</w:t>
      </w:r>
      <w:r w:rsidR="00F21C53" w:rsidRPr="00B41C5D">
        <w:rPr>
          <w:rFonts w:ascii="Open Sans" w:hAnsi="Open Sans" w:cs="Open Sans"/>
        </w:rPr>
        <w:t>e traiter les informations retournées par LA POSTE concernant les PND à l’aide de son contrat ALLIAGE PREMIUM pour les transmettre à l’AP-HP.</w:t>
      </w:r>
    </w:p>
    <w:p w14:paraId="543AFAB1" w14:textId="7C31CEE3" w:rsidR="00F21C53" w:rsidRPr="00B41C5D" w:rsidRDefault="00F21C53" w:rsidP="00F21C53">
      <w:pPr>
        <w:pStyle w:val="Findeliste"/>
        <w:rPr>
          <w:rFonts w:ascii="Open Sans" w:hAnsi="Open Sans" w:cs="Open Sans"/>
        </w:rPr>
      </w:pPr>
      <w:r w:rsidRPr="00B41C5D">
        <w:rPr>
          <w:rFonts w:ascii="Open Sans" w:hAnsi="Open Sans" w:cs="Open Sans"/>
        </w:rPr>
        <w:t xml:space="preserve">De traiter des LRE dans le cadre du règlement </w:t>
      </w:r>
      <w:proofErr w:type="spellStart"/>
      <w:r w:rsidRPr="00B41C5D">
        <w:rPr>
          <w:rFonts w:ascii="Open Sans" w:hAnsi="Open Sans" w:cs="Open Sans"/>
        </w:rPr>
        <w:t>eIDAS</w:t>
      </w:r>
      <w:proofErr w:type="spellEnd"/>
      <w:r w:rsidRPr="00B41C5D">
        <w:rPr>
          <w:rFonts w:ascii="Open Sans" w:hAnsi="Open Sans" w:cs="Open Sans"/>
        </w:rPr>
        <w:t>, cadre européen en matière d’identification électronique et de services de confiance, concerne notamment la signature électronique, en particulier le niveau de service LRE, qui est un équivalent légal au recommandé papier.</w:t>
      </w:r>
    </w:p>
    <w:p w14:paraId="75B037C2" w14:textId="7174D831" w:rsidR="00F21C53" w:rsidRPr="00B41C5D" w:rsidRDefault="00F21C53" w:rsidP="00F21C53">
      <w:pPr>
        <w:pStyle w:val="Corpsdetexte"/>
        <w:rPr>
          <w:rFonts w:cs="Open Sans"/>
        </w:rPr>
      </w:pPr>
      <w:r w:rsidRPr="00B41C5D">
        <w:rPr>
          <w:rFonts w:cs="Open Sans"/>
        </w:rPr>
        <w:t xml:space="preserve">Voir aussi les spécifications sur le site WEB de LA POSTE, notamment celles concernant les plis avec le </w:t>
      </w:r>
      <w:r w:rsidR="00140B84">
        <w:rPr>
          <w:rFonts w:cs="Open Sans"/>
        </w:rPr>
        <w:t>« </w:t>
      </w:r>
      <w:r w:rsidRPr="00B41C5D">
        <w:rPr>
          <w:rFonts w:cs="Open Sans"/>
        </w:rPr>
        <w:t xml:space="preserve">Guide </w:t>
      </w:r>
      <w:r w:rsidR="00140B84">
        <w:rPr>
          <w:rFonts w:cs="Open Sans"/>
        </w:rPr>
        <w:t>p</w:t>
      </w:r>
      <w:r w:rsidRPr="00B41C5D">
        <w:rPr>
          <w:rFonts w:cs="Open Sans"/>
        </w:rPr>
        <w:t xml:space="preserve">ratique </w:t>
      </w:r>
      <w:r w:rsidR="00140B84">
        <w:rPr>
          <w:rFonts w:cs="Open Sans"/>
        </w:rPr>
        <w:t>c</w:t>
      </w:r>
      <w:r w:rsidRPr="00B41C5D">
        <w:rPr>
          <w:rFonts w:cs="Open Sans"/>
        </w:rPr>
        <w:t>ourrier</w:t>
      </w:r>
      <w:r w:rsidR="00140B84">
        <w:rPr>
          <w:rFonts w:cs="Open Sans"/>
        </w:rPr>
        <w:t> »,</w:t>
      </w:r>
      <w:r w:rsidRPr="00B41C5D">
        <w:rPr>
          <w:rFonts w:cs="Open Sans"/>
        </w:rPr>
        <w:t xml:space="preserve"> figurant aussi en annexe au présent CCTP.</w:t>
      </w:r>
    </w:p>
    <w:p w14:paraId="01C9A276" w14:textId="77777777" w:rsidR="00D02CB0" w:rsidRDefault="00D02CB0" w:rsidP="00D02CB0">
      <w:pPr>
        <w:pStyle w:val="Titre2"/>
      </w:pPr>
      <w:bookmarkStart w:id="64" w:name="_Toc201153314"/>
      <w:r>
        <w:lastRenderedPageBreak/>
        <w:t>Développement durable</w:t>
      </w:r>
      <w:bookmarkEnd w:id="64"/>
    </w:p>
    <w:p w14:paraId="4504F059" w14:textId="77777777" w:rsidR="00F21C53" w:rsidRPr="00B41C5D" w:rsidRDefault="00F21C53" w:rsidP="00F21C53">
      <w:pPr>
        <w:pStyle w:val="ttedeliste"/>
        <w:rPr>
          <w:rFonts w:ascii="Open Sans" w:hAnsi="Open Sans" w:cs="Open Sans"/>
        </w:rPr>
      </w:pPr>
      <w:r w:rsidRPr="00B41C5D">
        <w:rPr>
          <w:rFonts w:ascii="Open Sans" w:hAnsi="Open Sans" w:cs="Open Sans"/>
        </w:rPr>
        <w:t xml:space="preserve">Concernant son activité liée au marché, l’AP-HP attend du Titulaire qu’il prenne en compte des critères de développement durable, notamment : </w:t>
      </w:r>
    </w:p>
    <w:p w14:paraId="69857141" w14:textId="627F2FDD" w:rsidR="00F21C53" w:rsidRPr="00CC1F4E" w:rsidRDefault="00F21C53" w:rsidP="00F21C53">
      <w:pPr>
        <w:pStyle w:val="listesimple"/>
        <w:rPr>
          <w:rFonts w:ascii="Open Sans" w:hAnsi="Open Sans" w:cs="Open Sans"/>
        </w:rPr>
      </w:pPr>
      <w:r w:rsidRPr="00CC1F4E">
        <w:rPr>
          <w:rFonts w:ascii="Open Sans" w:hAnsi="Open Sans" w:cs="Open Sans"/>
        </w:rPr>
        <w:t>L’impact environnemental de son activité (livraison ponctuelle</w:t>
      </w:r>
      <w:r w:rsidR="00434125" w:rsidRPr="00CC1F4E">
        <w:rPr>
          <w:rFonts w:ascii="Open Sans" w:hAnsi="Open Sans" w:cs="Open Sans"/>
        </w:rPr>
        <w:t>…</w:t>
      </w:r>
      <w:r w:rsidRPr="00CC1F4E">
        <w:rPr>
          <w:rFonts w:ascii="Open Sans" w:hAnsi="Open Sans" w:cs="Open Sans"/>
        </w:rPr>
        <w:t>).</w:t>
      </w:r>
    </w:p>
    <w:p w14:paraId="3F56AC2C" w14:textId="701C3BA5" w:rsidR="00F21C53" w:rsidRPr="00B41C5D" w:rsidRDefault="00F21C53" w:rsidP="00F21C53">
      <w:pPr>
        <w:pStyle w:val="listesimple"/>
        <w:rPr>
          <w:rFonts w:ascii="Open Sans" w:hAnsi="Open Sans" w:cs="Open Sans"/>
        </w:rPr>
      </w:pPr>
      <w:r w:rsidRPr="00B41C5D">
        <w:rPr>
          <w:rFonts w:ascii="Open Sans" w:hAnsi="Open Sans" w:cs="Open Sans"/>
        </w:rPr>
        <w:t>La gestion et le traitement des déchets (emballages…).</w:t>
      </w:r>
    </w:p>
    <w:p w14:paraId="7B17DA7D" w14:textId="19DDDF08" w:rsidR="00F21C53" w:rsidRPr="00B41C5D" w:rsidRDefault="00F21C53" w:rsidP="00F21C53">
      <w:pPr>
        <w:pStyle w:val="listesimple"/>
        <w:rPr>
          <w:rFonts w:ascii="Open Sans" w:hAnsi="Open Sans" w:cs="Open Sans"/>
        </w:rPr>
      </w:pPr>
      <w:r w:rsidRPr="00B41C5D">
        <w:rPr>
          <w:rFonts w:ascii="Open Sans" w:hAnsi="Open Sans" w:cs="Open Sans"/>
        </w:rPr>
        <w:t>La toxicité des matériaux employés (encres).</w:t>
      </w:r>
    </w:p>
    <w:p w14:paraId="5D25EAB0" w14:textId="20B3D88D" w:rsidR="00F21C53" w:rsidRPr="00B41C5D" w:rsidRDefault="00F21C53" w:rsidP="00F21C53">
      <w:pPr>
        <w:pStyle w:val="listesimple"/>
        <w:rPr>
          <w:rFonts w:ascii="Open Sans" w:hAnsi="Open Sans" w:cs="Open Sans"/>
        </w:rPr>
      </w:pPr>
      <w:r w:rsidRPr="00B41C5D">
        <w:rPr>
          <w:rFonts w:ascii="Open Sans" w:hAnsi="Open Sans" w:cs="Open Sans"/>
        </w:rPr>
        <w:t>L’utilisation de papier recyclable.</w:t>
      </w:r>
    </w:p>
    <w:p w14:paraId="12A956C1" w14:textId="7E12C8A9" w:rsidR="00F21C53" w:rsidRPr="00B41C5D" w:rsidRDefault="00F21C53" w:rsidP="00F21C53">
      <w:pPr>
        <w:pStyle w:val="listesimple"/>
        <w:rPr>
          <w:rFonts w:ascii="Open Sans" w:hAnsi="Open Sans" w:cs="Open Sans"/>
        </w:rPr>
      </w:pPr>
      <w:r w:rsidRPr="00B41C5D">
        <w:rPr>
          <w:rFonts w:ascii="Open Sans" w:hAnsi="Open Sans" w:cs="Open Sans"/>
        </w:rPr>
        <w:t>L’utilisation d’imprimantes respectueuses de l’environnement (RoHS, DEEE).</w:t>
      </w:r>
    </w:p>
    <w:p w14:paraId="0571E469" w14:textId="3A2DB550" w:rsidR="00F21C53" w:rsidRPr="00B41C5D" w:rsidRDefault="00F21C53" w:rsidP="00F21C53">
      <w:pPr>
        <w:pStyle w:val="Findeliste"/>
        <w:rPr>
          <w:rFonts w:ascii="Open Sans" w:hAnsi="Open Sans" w:cs="Open Sans"/>
        </w:rPr>
      </w:pPr>
      <w:r w:rsidRPr="00B41C5D">
        <w:rPr>
          <w:rFonts w:ascii="Open Sans" w:hAnsi="Open Sans" w:cs="Open Sans"/>
        </w:rPr>
        <w:t>La maîtrise de la consommation d’énergie.</w:t>
      </w:r>
    </w:p>
    <w:p w14:paraId="7D544FC1" w14:textId="6D600717" w:rsidR="00F21C53" w:rsidRPr="00B41C5D" w:rsidRDefault="00F21C53" w:rsidP="00F21C53">
      <w:pPr>
        <w:pStyle w:val="ttedeliste"/>
        <w:rPr>
          <w:rFonts w:ascii="Open Sans" w:hAnsi="Open Sans" w:cs="Open Sans"/>
        </w:rPr>
      </w:pPr>
      <w:r w:rsidRPr="00B41C5D">
        <w:rPr>
          <w:rFonts w:ascii="Open Sans" w:hAnsi="Open Sans" w:cs="Open Sans"/>
        </w:rPr>
        <w:t>En matière d’utilisation de papier recyclable, le Titulaire doit répondre aux exigences minimales suivantes</w:t>
      </w:r>
      <w:r w:rsidR="00434125">
        <w:rPr>
          <w:rFonts w:ascii="Open Sans" w:hAnsi="Open Sans" w:cs="Open Sans"/>
        </w:rPr>
        <w:t> :</w:t>
      </w:r>
      <w:r w:rsidRPr="00B41C5D">
        <w:rPr>
          <w:rFonts w:ascii="Open Sans" w:hAnsi="Open Sans" w:cs="Open Sans"/>
        </w:rPr>
        <w:t xml:space="preserve"> </w:t>
      </w:r>
    </w:p>
    <w:p w14:paraId="2684A77C" w14:textId="49DCDD26" w:rsidR="00F21C53" w:rsidRPr="00267780" w:rsidRDefault="00F21C53" w:rsidP="00F21C53">
      <w:pPr>
        <w:pStyle w:val="listesimple"/>
        <w:rPr>
          <w:rFonts w:ascii="Open Sans" w:hAnsi="Open Sans" w:cs="Open Sans"/>
        </w:rPr>
      </w:pPr>
      <w:r w:rsidRPr="00267780">
        <w:rPr>
          <w:rFonts w:ascii="Open Sans" w:hAnsi="Open Sans" w:cs="Open Sans"/>
        </w:rPr>
        <w:t>Utiliser pour les éditions du présent marché au moins 70% de papier recyclable. Toutefois, cette exigence ne concerne pas les éditions des bulletins de salaire qui d</w:t>
      </w:r>
      <w:r w:rsidR="00CC1F4E" w:rsidRPr="00267780">
        <w:rPr>
          <w:rFonts w:ascii="Open Sans" w:hAnsi="Open Sans" w:cs="Open Sans"/>
        </w:rPr>
        <w:t>oivent</w:t>
      </w:r>
      <w:r w:rsidRPr="00267780">
        <w:rPr>
          <w:rFonts w:ascii="Open Sans" w:hAnsi="Open Sans" w:cs="Open Sans"/>
        </w:rPr>
        <w:t xml:space="preserve"> pouvoir </w:t>
      </w:r>
      <w:r w:rsidR="00CC1F4E" w:rsidRPr="00267780">
        <w:rPr>
          <w:rFonts w:ascii="Open Sans" w:hAnsi="Open Sans" w:cs="Open Sans"/>
        </w:rPr>
        <w:t xml:space="preserve">être </w:t>
      </w:r>
      <w:r w:rsidRPr="00267780">
        <w:rPr>
          <w:rFonts w:ascii="Open Sans" w:hAnsi="Open Sans" w:cs="Open Sans"/>
        </w:rPr>
        <w:t>conservés sur une longue période de l’ordre de 50 ans.</w:t>
      </w:r>
    </w:p>
    <w:p w14:paraId="4A1A0A00" w14:textId="77777777" w:rsidR="00F21C53" w:rsidRPr="00B41C5D" w:rsidRDefault="00F21C53" w:rsidP="00F21C53">
      <w:pPr>
        <w:pStyle w:val="listesimple"/>
        <w:rPr>
          <w:rFonts w:ascii="Open Sans" w:hAnsi="Open Sans" w:cs="Open Sans"/>
        </w:rPr>
      </w:pPr>
      <w:r w:rsidRPr="00B41C5D">
        <w:rPr>
          <w:rFonts w:ascii="Open Sans" w:hAnsi="Open Sans" w:cs="Open Sans"/>
        </w:rPr>
        <w:t>Utiliser pour les papiers recyclés un taux minimum de 50% de fibres cellulosiques de récupération.</w:t>
      </w:r>
    </w:p>
    <w:p w14:paraId="63FE868D" w14:textId="77777777" w:rsidR="00F21C53" w:rsidRPr="00B41C5D" w:rsidRDefault="00F21C53" w:rsidP="00F21C53">
      <w:pPr>
        <w:pStyle w:val="Findeliste"/>
        <w:rPr>
          <w:rFonts w:ascii="Open Sans" w:hAnsi="Open Sans" w:cs="Open Sans"/>
        </w:rPr>
      </w:pPr>
      <w:r w:rsidRPr="00B41C5D">
        <w:rPr>
          <w:rFonts w:ascii="Open Sans" w:hAnsi="Open Sans" w:cs="Open Sans"/>
        </w:rPr>
        <w:t>Mettre en œuvre le label IMPRIM’VERT ou équivalent.</w:t>
      </w:r>
    </w:p>
    <w:p w14:paraId="367CC649" w14:textId="77777777" w:rsidR="00F21C53" w:rsidRPr="00B41C5D" w:rsidRDefault="00F21C53" w:rsidP="00F21C53">
      <w:pPr>
        <w:pStyle w:val="Corpsdetexte"/>
        <w:rPr>
          <w:rFonts w:cs="Open Sans"/>
        </w:rPr>
      </w:pPr>
      <w:r w:rsidRPr="00B41C5D">
        <w:rPr>
          <w:rFonts w:cs="Open Sans"/>
        </w:rPr>
        <w:t>Lors de chaque réunion contractuelle trimestrielle, il fait état de son activité en la matière.</w:t>
      </w:r>
    </w:p>
    <w:p w14:paraId="6BCFAA0B" w14:textId="77777777" w:rsidR="00F21C53" w:rsidRPr="00B41C5D" w:rsidRDefault="00F21C53" w:rsidP="00F21C53">
      <w:pPr>
        <w:pStyle w:val="ttedeliste"/>
        <w:rPr>
          <w:rFonts w:ascii="Open Sans" w:hAnsi="Open Sans" w:cs="Open Sans"/>
        </w:rPr>
      </w:pPr>
      <w:r w:rsidRPr="00B41C5D">
        <w:rPr>
          <w:rFonts w:ascii="Open Sans" w:hAnsi="Open Sans" w:cs="Open Sans"/>
        </w:rPr>
        <w:t>Les normes ou standards à prendre en compte sont :</w:t>
      </w:r>
    </w:p>
    <w:p w14:paraId="18BB6BCC" w14:textId="77777777" w:rsidR="00F21C53" w:rsidRPr="00B41C5D" w:rsidRDefault="00F21C53" w:rsidP="00F21C53">
      <w:pPr>
        <w:pStyle w:val="listesimple"/>
        <w:rPr>
          <w:rFonts w:ascii="Open Sans" w:hAnsi="Open Sans" w:cs="Open Sans"/>
        </w:rPr>
      </w:pPr>
      <w:r w:rsidRPr="00B41C5D">
        <w:rPr>
          <w:rFonts w:ascii="Open Sans" w:hAnsi="Open Sans" w:cs="Open Sans"/>
        </w:rPr>
        <w:t>DI 2011/65/CE (2011-06-08) modifiée. Directive relative à la limitation de certaines substances dangereuses dans les équipements électriques et électroniques (remplace la DI 2002/95/CE dite RoHS).</w:t>
      </w:r>
    </w:p>
    <w:p w14:paraId="69233810" w14:textId="77777777" w:rsidR="00F21C53" w:rsidRPr="00B41C5D" w:rsidRDefault="00F21C53" w:rsidP="00F21C53">
      <w:pPr>
        <w:pStyle w:val="listesimple"/>
        <w:rPr>
          <w:rFonts w:ascii="Open Sans" w:hAnsi="Open Sans" w:cs="Open Sans"/>
        </w:rPr>
      </w:pPr>
      <w:r w:rsidRPr="00B41C5D">
        <w:rPr>
          <w:rFonts w:ascii="Open Sans" w:hAnsi="Open Sans" w:cs="Open Sans"/>
        </w:rPr>
        <w:t>Directive 2012/19/UE du Parlement européen et du Conseil du 4 juillet 2012 relative aux déchets d'équipements électriques et électroniques (refonte de la directive DEEE 2002/96/CE).</w:t>
      </w:r>
    </w:p>
    <w:p w14:paraId="072ABE8B" w14:textId="77777777" w:rsidR="00F21C53" w:rsidRPr="00B41C5D" w:rsidRDefault="00F21C53" w:rsidP="00F21C53">
      <w:pPr>
        <w:pStyle w:val="listesimple"/>
        <w:rPr>
          <w:rFonts w:ascii="Open Sans" w:hAnsi="Open Sans" w:cs="Open Sans"/>
        </w:rPr>
      </w:pPr>
      <w:r w:rsidRPr="00B41C5D">
        <w:rPr>
          <w:rFonts w:ascii="Open Sans" w:hAnsi="Open Sans" w:cs="Open Sans"/>
        </w:rPr>
        <w:t>Décret n° 2005-829 du 20 juillet 2005 relatif à la composition des équipements électriques et électroniques et à l’élimination des déchets issus de ces équipements (DEEE)</w:t>
      </w:r>
    </w:p>
    <w:p w14:paraId="0DDC9039" w14:textId="77777777" w:rsidR="00F21C53" w:rsidRPr="00B41C5D" w:rsidRDefault="00F21C53" w:rsidP="00F21C53">
      <w:pPr>
        <w:pStyle w:val="listesimple"/>
        <w:rPr>
          <w:rFonts w:ascii="Open Sans" w:hAnsi="Open Sans" w:cs="Open Sans"/>
        </w:rPr>
      </w:pPr>
      <w:r w:rsidRPr="00B41C5D">
        <w:rPr>
          <w:rFonts w:ascii="Open Sans" w:hAnsi="Open Sans" w:cs="Open Sans"/>
        </w:rPr>
        <w:t>Décret n° 2012-617 du 2 mai 2012 relatif à la gestion des déchets de piles et accumulateurs et d’équipements électriques et électroniques.</w:t>
      </w:r>
    </w:p>
    <w:p w14:paraId="6195973F" w14:textId="77777777" w:rsidR="00F21C53" w:rsidRPr="00B41C5D" w:rsidRDefault="00F21C53" w:rsidP="00F21C53">
      <w:pPr>
        <w:pStyle w:val="listesimple"/>
        <w:rPr>
          <w:rFonts w:ascii="Open Sans" w:hAnsi="Open Sans" w:cs="Open Sans"/>
        </w:rPr>
      </w:pPr>
      <w:r w:rsidRPr="00B41C5D">
        <w:rPr>
          <w:rFonts w:ascii="Open Sans" w:hAnsi="Open Sans" w:cs="Open Sans"/>
        </w:rPr>
        <w:t>L’éco Label IMPRIM’VERT.</w:t>
      </w:r>
    </w:p>
    <w:p w14:paraId="7BA5D26B" w14:textId="1792704E" w:rsidR="00F721B4" w:rsidRPr="00B41C5D" w:rsidRDefault="00F21C53" w:rsidP="006E1F83">
      <w:pPr>
        <w:pStyle w:val="Findeliste"/>
        <w:rPr>
          <w:rFonts w:ascii="Open Sans" w:hAnsi="Open Sans" w:cs="Open Sans"/>
        </w:rPr>
      </w:pPr>
      <w:r w:rsidRPr="00B41C5D">
        <w:rPr>
          <w:rFonts w:ascii="Open Sans" w:hAnsi="Open Sans" w:cs="Open Sans"/>
        </w:rPr>
        <w:t>La série des normes ISO 14000 concernant le management environnemental.</w:t>
      </w:r>
    </w:p>
    <w:p w14:paraId="0AD020C9" w14:textId="353519A9" w:rsidR="00E420C9" w:rsidRDefault="00356A7D" w:rsidP="00733D67">
      <w:pPr>
        <w:pStyle w:val="Titre1"/>
        <w:pageBreakBefore/>
      </w:pPr>
      <w:bookmarkStart w:id="65" w:name="_Toc25591034"/>
      <w:bookmarkStart w:id="66" w:name="_Toc528083445"/>
      <w:bookmarkStart w:id="67" w:name="_Toc115947510"/>
      <w:bookmarkStart w:id="68" w:name="_Toc142665188"/>
      <w:bookmarkStart w:id="69" w:name="_Toc201153315"/>
      <w:bookmarkEnd w:id="15"/>
      <w:bookmarkEnd w:id="65"/>
      <w:r w:rsidRPr="00017368">
        <w:lastRenderedPageBreak/>
        <w:t>A</w:t>
      </w:r>
      <w:r w:rsidR="00E420C9" w:rsidRPr="00017368">
        <w:t>NNEXES</w:t>
      </w:r>
      <w:bookmarkEnd w:id="66"/>
      <w:bookmarkEnd w:id="67"/>
      <w:bookmarkEnd w:id="68"/>
      <w:bookmarkEnd w:id="69"/>
    </w:p>
    <w:p w14:paraId="6CBB70C6" w14:textId="77777777" w:rsidR="00163E8F" w:rsidRPr="002A41CF" w:rsidRDefault="00163E8F" w:rsidP="00163E8F">
      <w:pPr>
        <w:pStyle w:val="Titre2"/>
      </w:pPr>
      <w:bookmarkStart w:id="70" w:name="_Toc142665192"/>
      <w:bookmarkStart w:id="71" w:name="_Toc116380741"/>
      <w:bookmarkStart w:id="72" w:name="_Toc142665189"/>
      <w:bookmarkStart w:id="73" w:name="_Toc116380742"/>
      <w:bookmarkStart w:id="74" w:name="_Toc201153316"/>
      <w:r w:rsidRPr="002A41CF">
        <w:t xml:space="preserve">Politique Générale de Sécurité de </w:t>
      </w:r>
      <w:r>
        <w:t>l</w:t>
      </w:r>
      <w:r w:rsidRPr="002A41CF">
        <w:t>'Information de l'AP-HP</w:t>
      </w:r>
      <w:bookmarkEnd w:id="70"/>
      <w:bookmarkEnd w:id="74"/>
    </w:p>
    <w:p w14:paraId="6DE2517D" w14:textId="77777777" w:rsidR="00163E8F" w:rsidRPr="002A41CF" w:rsidRDefault="00163E8F" w:rsidP="00163E8F">
      <w:pPr>
        <w:pStyle w:val="Corpsdetexte"/>
      </w:pPr>
      <w:r w:rsidRPr="002A41CF">
        <w:t>Voir le fichier « .PDF » joint nommé :</w:t>
      </w:r>
    </w:p>
    <w:p w14:paraId="1E5D2877" w14:textId="2A63726E" w:rsidR="00163E8F" w:rsidRPr="001712A6" w:rsidRDefault="00F721B4" w:rsidP="00163E8F">
      <w:pPr>
        <w:pStyle w:val="Corpsdetexte"/>
        <w:ind w:left="708"/>
        <w:rPr>
          <w:i/>
          <w:lang w:val="en-US"/>
        </w:rPr>
      </w:pPr>
      <w:r w:rsidRPr="00F721B4">
        <w:rPr>
          <w:i/>
        </w:rPr>
        <w:t xml:space="preserve">24-030-IT AOO </w:t>
      </w:r>
      <w:proofErr w:type="spellStart"/>
      <w:r w:rsidRPr="00F721B4">
        <w:rPr>
          <w:i/>
        </w:rPr>
        <w:t>ProductionCourriers</w:t>
      </w:r>
      <w:proofErr w:type="spellEnd"/>
      <w:r w:rsidRPr="00F721B4">
        <w:rPr>
          <w:i/>
        </w:rPr>
        <w:t xml:space="preserve"> </w:t>
      </w:r>
      <w:r w:rsidR="00163E8F" w:rsidRPr="001712A6">
        <w:rPr>
          <w:i/>
        </w:rPr>
        <w:t>CCTP-A01 PGSI</w:t>
      </w:r>
    </w:p>
    <w:p w14:paraId="38016DE2" w14:textId="77777777" w:rsidR="00163E8F" w:rsidRPr="001712A6" w:rsidRDefault="00163E8F" w:rsidP="00163E8F">
      <w:pPr>
        <w:pStyle w:val="Titre2"/>
      </w:pPr>
      <w:bookmarkStart w:id="75" w:name="_Toc142665191"/>
      <w:bookmarkStart w:id="76" w:name="_Toc201153317"/>
      <w:r w:rsidRPr="001712A6">
        <w:t>Sécurité dans la relation avec les Fournisseurs</w:t>
      </w:r>
      <w:bookmarkEnd w:id="76"/>
    </w:p>
    <w:p w14:paraId="29E151D7" w14:textId="77777777" w:rsidR="00163E8F" w:rsidRPr="001712A6" w:rsidRDefault="00163E8F" w:rsidP="00163E8F">
      <w:pPr>
        <w:pStyle w:val="Corpsdetexte"/>
      </w:pPr>
      <w:r w:rsidRPr="001712A6">
        <w:t>Voir le fichier « .DOCX » joint nommé :</w:t>
      </w:r>
    </w:p>
    <w:p w14:paraId="440D7DAC" w14:textId="718F9074" w:rsidR="00163E8F" w:rsidRPr="001712A6" w:rsidRDefault="00F721B4" w:rsidP="00163E8F">
      <w:pPr>
        <w:pStyle w:val="Corpsdetexte"/>
        <w:ind w:left="708"/>
        <w:rPr>
          <w:i/>
        </w:rPr>
      </w:pPr>
      <w:r w:rsidRPr="00F721B4">
        <w:rPr>
          <w:i/>
        </w:rPr>
        <w:t xml:space="preserve">24-030-IT AOO </w:t>
      </w:r>
      <w:proofErr w:type="spellStart"/>
      <w:r w:rsidRPr="00F721B4">
        <w:rPr>
          <w:i/>
        </w:rPr>
        <w:t>ProductionCourriers</w:t>
      </w:r>
      <w:proofErr w:type="spellEnd"/>
      <w:r w:rsidRPr="00F721B4">
        <w:rPr>
          <w:i/>
        </w:rPr>
        <w:t xml:space="preserve"> </w:t>
      </w:r>
      <w:r w:rsidR="00163E8F" w:rsidRPr="001712A6">
        <w:rPr>
          <w:i/>
        </w:rPr>
        <w:t xml:space="preserve">CCTP-A02 </w:t>
      </w:r>
      <w:proofErr w:type="spellStart"/>
      <w:r w:rsidR="00163E8F" w:rsidRPr="001712A6">
        <w:rPr>
          <w:i/>
        </w:rPr>
        <w:t>FournissseurSecurite</w:t>
      </w:r>
      <w:proofErr w:type="spellEnd"/>
    </w:p>
    <w:p w14:paraId="6FBC4E60" w14:textId="334BB6A8" w:rsidR="000F1FAD" w:rsidRDefault="000F1FAD" w:rsidP="000F1FAD">
      <w:pPr>
        <w:pStyle w:val="Titre2"/>
      </w:pPr>
      <w:bookmarkStart w:id="77" w:name="_Toc201153318"/>
      <w:bookmarkEnd w:id="75"/>
      <w:bookmarkEnd w:id="71"/>
      <w:bookmarkEnd w:id="72"/>
      <w:bookmarkEnd w:id="73"/>
      <w:r>
        <w:t>Contrat d’interface éditique</w:t>
      </w:r>
      <w:bookmarkEnd w:id="77"/>
    </w:p>
    <w:p w14:paraId="2617BA6E" w14:textId="537A4E1E" w:rsidR="000F1FAD" w:rsidRDefault="000F1FAD" w:rsidP="000F1FAD">
      <w:pPr>
        <w:pStyle w:val="Corpsdetexte"/>
      </w:pPr>
      <w:r>
        <w:t>Voir le fichier</w:t>
      </w:r>
      <w:r w:rsidR="008F7679">
        <w:t xml:space="preserve"> « .DOCX »</w:t>
      </w:r>
      <w:r>
        <w:t xml:space="preserve"> joint nommé :</w:t>
      </w:r>
    </w:p>
    <w:p w14:paraId="52B04F25" w14:textId="3E3280D8" w:rsidR="008C67F6" w:rsidRDefault="000F1FAD" w:rsidP="000F1FAD">
      <w:pPr>
        <w:pStyle w:val="Corpsdetexte"/>
        <w:ind w:left="708"/>
        <w:rPr>
          <w:i/>
        </w:rPr>
      </w:pPr>
      <w:r w:rsidRPr="00F721B4">
        <w:rPr>
          <w:i/>
        </w:rPr>
        <w:t xml:space="preserve">24-030-IT AOO </w:t>
      </w:r>
      <w:proofErr w:type="spellStart"/>
      <w:r w:rsidRPr="00F721B4">
        <w:rPr>
          <w:i/>
        </w:rPr>
        <w:t>ProductionCourriers</w:t>
      </w:r>
      <w:proofErr w:type="spellEnd"/>
      <w:r w:rsidRPr="00F721B4">
        <w:rPr>
          <w:i/>
        </w:rPr>
        <w:t xml:space="preserve"> </w:t>
      </w:r>
      <w:r w:rsidRPr="000F1FAD">
        <w:rPr>
          <w:i/>
        </w:rPr>
        <w:t>CCTP</w:t>
      </w:r>
      <w:r>
        <w:rPr>
          <w:i/>
        </w:rPr>
        <w:t>-A</w:t>
      </w:r>
      <w:r w:rsidRPr="000F1FAD">
        <w:rPr>
          <w:i/>
        </w:rPr>
        <w:t>0</w:t>
      </w:r>
      <w:r w:rsidR="00781C57">
        <w:rPr>
          <w:i/>
        </w:rPr>
        <w:t>3</w:t>
      </w:r>
      <w:r w:rsidRPr="000F1FAD">
        <w:rPr>
          <w:i/>
        </w:rPr>
        <w:t xml:space="preserve"> </w:t>
      </w:r>
      <w:proofErr w:type="spellStart"/>
      <w:r w:rsidRPr="000F1FAD">
        <w:rPr>
          <w:i/>
        </w:rPr>
        <w:t>ContratInterface</w:t>
      </w:r>
      <w:proofErr w:type="spellEnd"/>
    </w:p>
    <w:p w14:paraId="4023E4D2" w14:textId="1ECA98F4" w:rsidR="008F7679" w:rsidRDefault="008F7679" w:rsidP="008F7679">
      <w:pPr>
        <w:pStyle w:val="Titre2"/>
      </w:pPr>
      <w:bookmarkStart w:id="78" w:name="_Toc201153319"/>
      <w:r>
        <w:t>Documents Types</w:t>
      </w:r>
      <w:bookmarkEnd w:id="78"/>
    </w:p>
    <w:p w14:paraId="3C0E2E4C" w14:textId="451ACF92" w:rsidR="008F7679" w:rsidRDefault="008F7679" w:rsidP="008F7679">
      <w:pPr>
        <w:pStyle w:val="Corpsdetexte"/>
      </w:pPr>
      <w:r>
        <w:t>Voir le fichier « .XLSX » joint nommé :</w:t>
      </w:r>
    </w:p>
    <w:p w14:paraId="54505007" w14:textId="363B1CE6" w:rsidR="008F7679" w:rsidRDefault="008F7679" w:rsidP="000F1FAD">
      <w:pPr>
        <w:pStyle w:val="Corpsdetexte"/>
        <w:ind w:left="708"/>
        <w:rPr>
          <w:i/>
        </w:rPr>
      </w:pPr>
      <w:r w:rsidRPr="008F7679">
        <w:rPr>
          <w:i/>
        </w:rPr>
        <w:t xml:space="preserve">24-030-IT AOO </w:t>
      </w:r>
      <w:proofErr w:type="spellStart"/>
      <w:r w:rsidRPr="008F7679">
        <w:rPr>
          <w:i/>
        </w:rPr>
        <w:t>ProductionCourriers</w:t>
      </w:r>
      <w:proofErr w:type="spellEnd"/>
      <w:r w:rsidRPr="008F7679">
        <w:rPr>
          <w:i/>
        </w:rPr>
        <w:t xml:space="preserve"> CCTP-A0</w:t>
      </w:r>
      <w:r w:rsidR="00781C57">
        <w:rPr>
          <w:i/>
        </w:rPr>
        <w:t>4</w:t>
      </w:r>
      <w:r w:rsidRPr="008F7679">
        <w:rPr>
          <w:i/>
        </w:rPr>
        <w:t xml:space="preserve"> </w:t>
      </w:r>
      <w:proofErr w:type="spellStart"/>
      <w:r w:rsidRPr="008F7679">
        <w:rPr>
          <w:i/>
        </w:rPr>
        <w:t>DocumentsTypes</w:t>
      </w:r>
      <w:proofErr w:type="spellEnd"/>
    </w:p>
    <w:p w14:paraId="3B212FB7" w14:textId="44A7D8BF" w:rsidR="00140B84" w:rsidRDefault="00140B84" w:rsidP="00140B84">
      <w:pPr>
        <w:pStyle w:val="Titre2"/>
      </w:pPr>
      <w:bookmarkStart w:id="79" w:name="_Toc201153320"/>
      <w:r>
        <w:t>Guide pratique courrier</w:t>
      </w:r>
      <w:bookmarkEnd w:id="79"/>
    </w:p>
    <w:p w14:paraId="03306503" w14:textId="4D0AA9DC" w:rsidR="00140B84" w:rsidRDefault="00140B84" w:rsidP="00140B84">
      <w:pPr>
        <w:pStyle w:val="Corpsdetexte"/>
      </w:pPr>
      <w:r>
        <w:t>Voir le fichier « .PDF » joint nommé :</w:t>
      </w:r>
    </w:p>
    <w:p w14:paraId="729FDC49" w14:textId="3C9E387B" w:rsidR="00140B84" w:rsidRDefault="00140B84" w:rsidP="00140B84">
      <w:pPr>
        <w:pStyle w:val="Corpsdetexte"/>
        <w:ind w:left="708"/>
        <w:rPr>
          <w:i/>
        </w:rPr>
      </w:pPr>
      <w:r w:rsidRPr="00140B84">
        <w:rPr>
          <w:i/>
        </w:rPr>
        <w:t xml:space="preserve">24-030-IT AOO </w:t>
      </w:r>
      <w:proofErr w:type="spellStart"/>
      <w:r w:rsidRPr="00140B84">
        <w:rPr>
          <w:i/>
        </w:rPr>
        <w:t>ProductionCourriers</w:t>
      </w:r>
      <w:proofErr w:type="spellEnd"/>
      <w:r w:rsidRPr="00140B84">
        <w:rPr>
          <w:i/>
        </w:rPr>
        <w:t xml:space="preserve"> CCTP-A05 </w:t>
      </w:r>
      <w:proofErr w:type="spellStart"/>
      <w:r w:rsidRPr="00140B84">
        <w:rPr>
          <w:i/>
        </w:rPr>
        <w:t>GuideCourrier</w:t>
      </w:r>
      <w:proofErr w:type="spellEnd"/>
      <w:r w:rsidRPr="00140B84">
        <w:rPr>
          <w:i/>
        </w:rPr>
        <w:t xml:space="preserve"> 2024-01</w:t>
      </w:r>
    </w:p>
    <w:p w14:paraId="14D0802B" w14:textId="77777777" w:rsidR="00781C57" w:rsidRPr="00781C57" w:rsidRDefault="00781C57" w:rsidP="00781C57">
      <w:pPr>
        <w:pStyle w:val="Corpsdetexte"/>
      </w:pPr>
    </w:p>
    <w:sectPr w:rsidR="00781C57" w:rsidRPr="00781C57" w:rsidSect="00E43254">
      <w:footerReference w:type="default" r:id="rId12"/>
      <w:pgSz w:w="11907" w:h="16840" w:code="9"/>
      <w:pgMar w:top="1134" w:right="1134" w:bottom="851" w:left="1134"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CED25" w14:textId="77777777" w:rsidR="00985535" w:rsidRDefault="00985535">
      <w:r>
        <w:separator/>
      </w:r>
    </w:p>
  </w:endnote>
  <w:endnote w:type="continuationSeparator" w:id="0">
    <w:p w14:paraId="3DF7D7F1" w14:textId="77777777" w:rsidR="00985535" w:rsidRDefault="00985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985535" w:rsidRPr="0066536E" w14:paraId="699FDF82" w14:textId="77777777" w:rsidTr="00775A78">
      <w:tc>
        <w:tcPr>
          <w:tcW w:w="1486" w:type="dxa"/>
          <w:shd w:val="clear" w:color="auto" w:fill="auto"/>
          <w:vAlign w:val="center"/>
        </w:tcPr>
        <w:p w14:paraId="0DDB07D7" w14:textId="30ECF4AA" w:rsidR="00985535" w:rsidRPr="0066536E" w:rsidRDefault="00985535" w:rsidP="00775A78">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vAlign w:val="center"/>
        </w:tcPr>
        <w:p w14:paraId="26C883D8" w14:textId="4123EAB8" w:rsidR="00985535" w:rsidRPr="0066536E" w:rsidRDefault="00985535" w:rsidP="00191CAC">
          <w:pPr>
            <w:pStyle w:val="Pieddepage"/>
            <w:rPr>
              <w:rFonts w:eastAsia="Calibri" w:cs="Open Sans"/>
              <w:sz w:val="18"/>
              <w:szCs w:val="18"/>
              <w:lang w:eastAsia="en-US"/>
            </w:rPr>
          </w:pPr>
          <w:r w:rsidRPr="0066536E">
            <w:rPr>
              <w:rFonts w:eastAsia="Calibri" w:cs="Open Sans"/>
              <w:sz w:val="18"/>
              <w:szCs w:val="18"/>
              <w:lang w:eastAsia="en-US"/>
            </w:rPr>
            <w:t xml:space="preserve">Consultation n° </w:t>
          </w:r>
          <w:r>
            <w:rPr>
              <w:rFonts w:eastAsia="Calibri" w:cs="Open Sans"/>
              <w:sz w:val="18"/>
              <w:szCs w:val="18"/>
              <w:lang w:eastAsia="en-US"/>
            </w:rPr>
            <w:t>2</w:t>
          </w:r>
          <w:r w:rsidR="00BC7F41">
            <w:rPr>
              <w:rFonts w:eastAsia="Calibri" w:cs="Open Sans"/>
              <w:sz w:val="18"/>
              <w:szCs w:val="18"/>
              <w:lang w:eastAsia="en-US"/>
            </w:rPr>
            <w:t>4</w:t>
          </w:r>
          <w:r>
            <w:rPr>
              <w:rFonts w:eastAsia="Calibri" w:cs="Open Sans"/>
              <w:sz w:val="18"/>
              <w:szCs w:val="18"/>
              <w:lang w:eastAsia="en-US"/>
            </w:rPr>
            <w:t>-03</w:t>
          </w:r>
          <w:r w:rsidR="00BC7F41">
            <w:rPr>
              <w:rFonts w:eastAsia="Calibri" w:cs="Open Sans"/>
              <w:sz w:val="18"/>
              <w:szCs w:val="18"/>
              <w:lang w:eastAsia="en-US"/>
            </w:rPr>
            <w:t>0</w:t>
          </w:r>
          <w:r>
            <w:rPr>
              <w:rFonts w:eastAsia="Calibri" w:cs="Open Sans"/>
              <w:sz w:val="18"/>
              <w:szCs w:val="18"/>
              <w:lang w:eastAsia="en-US"/>
            </w:rPr>
            <w:t>-IT</w:t>
          </w:r>
        </w:p>
      </w:tc>
      <w:tc>
        <w:tcPr>
          <w:tcW w:w="2075" w:type="dxa"/>
          <w:shd w:val="clear" w:color="auto" w:fill="auto"/>
          <w:vAlign w:val="center"/>
        </w:tcPr>
        <w:p w14:paraId="7576CCE8" w14:textId="3E16AF7A" w:rsidR="00985535" w:rsidRPr="0066536E" w:rsidRDefault="00985535" w:rsidP="00775A78">
          <w:pPr>
            <w:pStyle w:val="Pieddepage"/>
            <w:rPr>
              <w:rFonts w:eastAsia="Calibri" w:cs="Open Sans"/>
              <w:color w:val="auto"/>
              <w:sz w:val="18"/>
              <w:szCs w:val="18"/>
              <w:lang w:val="en-GB" w:eastAsia="en-US"/>
            </w:rPr>
          </w:pPr>
          <w:r>
            <w:rPr>
              <w:rFonts w:eastAsia="Calibri" w:cs="Open Sans"/>
              <w:color w:val="auto"/>
              <w:sz w:val="18"/>
              <w:szCs w:val="18"/>
              <w:lang w:val="en-GB" w:eastAsia="en-US"/>
            </w:rPr>
            <w:t>AGEPS</w:t>
          </w:r>
        </w:p>
      </w:tc>
    </w:tr>
    <w:tr w:rsidR="00985535" w:rsidRPr="0066536E" w14:paraId="7F9220C1" w14:textId="77777777" w:rsidTr="00775A78">
      <w:tc>
        <w:tcPr>
          <w:tcW w:w="1486" w:type="dxa"/>
          <w:shd w:val="clear" w:color="auto" w:fill="auto"/>
          <w:vAlign w:val="center"/>
        </w:tcPr>
        <w:p w14:paraId="1C0DB966" w14:textId="5FB8A6A3" w:rsidR="00985535" w:rsidRPr="0066536E" w:rsidRDefault="00985535" w:rsidP="00775A78">
          <w:pPr>
            <w:jc w:val="center"/>
            <w:rPr>
              <w:rFonts w:eastAsia="Calibri" w:cs="Open Sans"/>
              <w:sz w:val="18"/>
              <w:szCs w:val="18"/>
              <w:lang w:eastAsia="en-US"/>
            </w:rPr>
          </w:pPr>
          <w:r>
            <w:rPr>
              <w:rFonts w:eastAsia="Calibri" w:cs="Open Sans"/>
              <w:sz w:val="18"/>
              <w:szCs w:val="18"/>
              <w:lang w:eastAsia="en-US"/>
            </w:rPr>
            <w:t>CCTP</w:t>
          </w:r>
        </w:p>
      </w:tc>
      <w:tc>
        <w:tcPr>
          <w:tcW w:w="5670" w:type="dxa"/>
          <w:shd w:val="clear" w:color="auto" w:fill="auto"/>
          <w:vAlign w:val="center"/>
        </w:tcPr>
        <w:p w14:paraId="558E3F2B" w14:textId="559D372B" w:rsidR="00985535" w:rsidRPr="0066536E" w:rsidRDefault="00985535" w:rsidP="00171F62">
          <w:pPr>
            <w:jc w:val="center"/>
            <w:rPr>
              <w:rFonts w:eastAsia="Calibri" w:cs="Open Sans"/>
              <w:sz w:val="18"/>
              <w:szCs w:val="18"/>
              <w:lang w:eastAsia="en-US"/>
            </w:rPr>
          </w:pPr>
          <w:r>
            <w:rPr>
              <w:rFonts w:eastAsia="Calibri" w:cs="Open Sans"/>
              <w:sz w:val="18"/>
              <w:szCs w:val="18"/>
              <w:lang w:eastAsia="en-US"/>
            </w:rPr>
            <w:t xml:space="preserve">Dernière mise à jour du </w:t>
          </w:r>
          <w:r w:rsidR="00FA65A8">
            <w:rPr>
              <w:rFonts w:eastAsia="Calibri" w:cs="Open Sans"/>
              <w:sz w:val="18"/>
              <w:szCs w:val="18"/>
              <w:lang w:eastAsia="en-US"/>
            </w:rPr>
            <w:t>18/06/2025</w:t>
          </w:r>
        </w:p>
      </w:tc>
      <w:tc>
        <w:tcPr>
          <w:tcW w:w="2075" w:type="dxa"/>
          <w:shd w:val="clear" w:color="auto" w:fill="auto"/>
          <w:vAlign w:val="center"/>
        </w:tcPr>
        <w:p w14:paraId="4D1A288A" w14:textId="043F7AC9" w:rsidR="00985535" w:rsidRPr="0066536E" w:rsidRDefault="00985535" w:rsidP="00775A78">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FD01FC">
            <w:rPr>
              <w:rFonts w:eastAsia="Calibri" w:cs="Open Sans"/>
              <w:noProof/>
              <w:sz w:val="18"/>
              <w:szCs w:val="18"/>
              <w:lang w:eastAsia="en-US"/>
            </w:rPr>
            <w:t>9</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FD01FC">
            <w:rPr>
              <w:rStyle w:val="Numrodepage"/>
              <w:rFonts w:eastAsia="Calibri" w:cs="Open Sans"/>
              <w:noProof/>
              <w:sz w:val="18"/>
              <w:szCs w:val="18"/>
              <w:lang w:eastAsia="en-US"/>
            </w:rPr>
            <w:t>33</w:t>
          </w:r>
          <w:r w:rsidRPr="0066536E">
            <w:rPr>
              <w:rStyle w:val="Numrodepage"/>
              <w:rFonts w:eastAsia="Calibri" w:cs="Open Sans"/>
              <w:sz w:val="18"/>
              <w:szCs w:val="18"/>
              <w:lang w:eastAsia="en-US"/>
            </w:rPr>
            <w:fldChar w:fldCharType="end"/>
          </w:r>
        </w:p>
      </w:tc>
    </w:tr>
  </w:tbl>
  <w:p w14:paraId="0A202C47" w14:textId="4D9E4641" w:rsidR="00985535" w:rsidRPr="00775A78" w:rsidRDefault="00985535" w:rsidP="00775A78">
    <w:pPr>
      <w:pStyle w:val="Pieddepage"/>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57D0B" w14:textId="77777777" w:rsidR="00985535" w:rsidRDefault="00985535">
      <w:r>
        <w:separator/>
      </w:r>
    </w:p>
  </w:footnote>
  <w:footnote w:type="continuationSeparator" w:id="0">
    <w:p w14:paraId="3D2E4539" w14:textId="77777777" w:rsidR="00985535" w:rsidRDefault="00985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88658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C"/>
    <w:multiLevelType w:val="singleLevel"/>
    <w:tmpl w:val="0000000C"/>
    <w:name w:val="WW8Num11"/>
    <w:lvl w:ilvl="0">
      <w:start w:val="101"/>
      <w:numFmt w:val="bullet"/>
      <w:lvlText w:val="-"/>
      <w:lvlJc w:val="left"/>
      <w:pPr>
        <w:tabs>
          <w:tab w:val="num" w:pos="360"/>
        </w:tabs>
        <w:ind w:left="360" w:hanging="360"/>
      </w:pPr>
      <w:rPr>
        <w:rFonts w:ascii="Times New Roman" w:hAnsi="Times New Roman"/>
      </w:rPr>
    </w:lvl>
  </w:abstractNum>
  <w:abstractNum w:abstractNumId="2" w15:restartNumberingAfterBreak="0">
    <w:nsid w:val="0000000F"/>
    <w:multiLevelType w:val="singleLevel"/>
    <w:tmpl w:val="0000000F"/>
    <w:name w:val="WW8Num21"/>
    <w:lvl w:ilvl="0">
      <w:numFmt w:val="bullet"/>
      <w:lvlText w:val="-"/>
      <w:lvlJc w:val="left"/>
      <w:pPr>
        <w:tabs>
          <w:tab w:val="num" w:pos="720"/>
        </w:tabs>
        <w:ind w:left="720" w:hanging="360"/>
      </w:pPr>
      <w:rPr>
        <w:rFonts w:ascii="Times New Roman" w:hAnsi="Times New Roman" w:cs="Symbol"/>
        <w:color w:val="000000"/>
        <w:sz w:val="20"/>
        <w:szCs w:val="24"/>
        <w:lang w:val="fr-FR"/>
      </w:rPr>
    </w:lvl>
  </w:abstractNum>
  <w:abstractNum w:abstractNumId="3" w15:restartNumberingAfterBreak="0">
    <w:nsid w:val="00000013"/>
    <w:multiLevelType w:val="singleLevel"/>
    <w:tmpl w:val="00000013"/>
    <w:name w:val="WW8Num19"/>
    <w:lvl w:ilvl="0">
      <w:start w:val="1"/>
      <w:numFmt w:val="bullet"/>
      <w:lvlText w:val=""/>
      <w:lvlJc w:val="left"/>
      <w:pPr>
        <w:tabs>
          <w:tab w:val="num" w:pos="417"/>
        </w:tabs>
        <w:ind w:left="57"/>
      </w:pPr>
      <w:rPr>
        <w:rFonts w:ascii="Symbol" w:hAnsi="Symbol"/>
      </w:rPr>
    </w:lvl>
  </w:abstractNum>
  <w:abstractNum w:abstractNumId="4" w15:restartNumberingAfterBreak="0">
    <w:nsid w:val="00000016"/>
    <w:multiLevelType w:val="multilevel"/>
    <w:tmpl w:val="00000016"/>
    <w:name w:val="WW8Num24"/>
    <w:lvl w:ilvl="0">
      <w:start w:val="1"/>
      <w:numFmt w:val="bullet"/>
      <w:lvlText w:val=""/>
      <w:lvlJc w:val="left"/>
      <w:pPr>
        <w:tabs>
          <w:tab w:val="num" w:pos="360"/>
        </w:tabs>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Wingdings" w:hAnsi="Wingdings"/>
      </w:rPr>
    </w:lvl>
  </w:abstractNum>
  <w:abstractNum w:abstractNumId="6"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1B"/>
    <w:multiLevelType w:val="singleLevel"/>
    <w:tmpl w:val="0000001B"/>
    <w:name w:val="WW8Num29"/>
    <w:lvl w:ilvl="0">
      <w:start w:val="1"/>
      <w:numFmt w:val="bullet"/>
      <w:lvlText w:val=""/>
      <w:lvlJc w:val="left"/>
      <w:pPr>
        <w:tabs>
          <w:tab w:val="num" w:pos="1263"/>
        </w:tabs>
        <w:ind w:left="1263" w:hanging="360"/>
      </w:pPr>
      <w:rPr>
        <w:rFonts w:ascii="Wingdings" w:hAnsi="Wingdings"/>
      </w:rPr>
    </w:lvl>
  </w:abstractNum>
  <w:abstractNum w:abstractNumId="8" w15:restartNumberingAfterBreak="0">
    <w:nsid w:val="0000001D"/>
    <w:multiLevelType w:val="singleLevel"/>
    <w:tmpl w:val="0000001D"/>
    <w:name w:val="WW8Num31"/>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0" w15:restartNumberingAfterBreak="0">
    <w:nsid w:val="00000024"/>
    <w:multiLevelType w:val="singleLevel"/>
    <w:tmpl w:val="00000024"/>
    <w:name w:val="WW8Num38"/>
    <w:lvl w:ilvl="0">
      <w:start w:val="1"/>
      <w:numFmt w:val="bullet"/>
      <w:lvlText w:val=""/>
      <w:lvlJc w:val="left"/>
      <w:pPr>
        <w:tabs>
          <w:tab w:val="num" w:pos="1800"/>
        </w:tabs>
        <w:ind w:left="1440"/>
      </w:pPr>
      <w:rPr>
        <w:rFonts w:ascii="Symbol" w:hAnsi="Symbol"/>
      </w:rPr>
    </w:lvl>
  </w:abstractNum>
  <w:abstractNum w:abstractNumId="11" w15:restartNumberingAfterBreak="0">
    <w:nsid w:val="01651CA4"/>
    <w:multiLevelType w:val="multilevel"/>
    <w:tmpl w:val="2D2C59BC"/>
    <w:lvl w:ilvl="0">
      <w:start w:val="1"/>
      <w:numFmt w:val="decimal"/>
      <w:lvlText w:val="ARTICLE %1 : "/>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D0A6C01"/>
    <w:multiLevelType w:val="hybridMultilevel"/>
    <w:tmpl w:val="6ABE8B2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0FB3745C"/>
    <w:multiLevelType w:val="hybridMultilevel"/>
    <w:tmpl w:val="631EE5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15" w15:restartNumberingAfterBreak="0">
    <w:nsid w:val="189F3331"/>
    <w:multiLevelType w:val="hybridMultilevel"/>
    <w:tmpl w:val="556EF1D2"/>
    <w:lvl w:ilvl="0" w:tplc="040C000D">
      <w:start w:val="1"/>
      <w:numFmt w:val="bullet"/>
      <w:lvlText w:val=""/>
      <w:lvlJc w:val="left"/>
      <w:pPr>
        <w:ind w:left="679" w:hanging="360"/>
      </w:pPr>
      <w:rPr>
        <w:rFonts w:ascii="Wingdings" w:hAnsi="Wingdings" w:hint="default"/>
      </w:rPr>
    </w:lvl>
    <w:lvl w:ilvl="1" w:tplc="040C0003" w:tentative="1">
      <w:start w:val="1"/>
      <w:numFmt w:val="bullet"/>
      <w:lvlText w:val="o"/>
      <w:lvlJc w:val="left"/>
      <w:pPr>
        <w:ind w:left="1399" w:hanging="360"/>
      </w:pPr>
      <w:rPr>
        <w:rFonts w:ascii="Courier New" w:hAnsi="Courier New" w:cs="Courier New" w:hint="default"/>
      </w:rPr>
    </w:lvl>
    <w:lvl w:ilvl="2" w:tplc="040C0005" w:tentative="1">
      <w:start w:val="1"/>
      <w:numFmt w:val="bullet"/>
      <w:lvlText w:val=""/>
      <w:lvlJc w:val="left"/>
      <w:pPr>
        <w:ind w:left="2119" w:hanging="360"/>
      </w:pPr>
      <w:rPr>
        <w:rFonts w:ascii="Wingdings" w:hAnsi="Wingdings" w:hint="default"/>
      </w:rPr>
    </w:lvl>
    <w:lvl w:ilvl="3" w:tplc="040C0001" w:tentative="1">
      <w:start w:val="1"/>
      <w:numFmt w:val="bullet"/>
      <w:lvlText w:val=""/>
      <w:lvlJc w:val="left"/>
      <w:pPr>
        <w:ind w:left="2839" w:hanging="360"/>
      </w:pPr>
      <w:rPr>
        <w:rFonts w:ascii="Symbol" w:hAnsi="Symbol" w:hint="default"/>
      </w:rPr>
    </w:lvl>
    <w:lvl w:ilvl="4" w:tplc="040C0003" w:tentative="1">
      <w:start w:val="1"/>
      <w:numFmt w:val="bullet"/>
      <w:lvlText w:val="o"/>
      <w:lvlJc w:val="left"/>
      <w:pPr>
        <w:ind w:left="3559" w:hanging="360"/>
      </w:pPr>
      <w:rPr>
        <w:rFonts w:ascii="Courier New" w:hAnsi="Courier New" w:cs="Courier New" w:hint="default"/>
      </w:rPr>
    </w:lvl>
    <w:lvl w:ilvl="5" w:tplc="040C0005" w:tentative="1">
      <w:start w:val="1"/>
      <w:numFmt w:val="bullet"/>
      <w:lvlText w:val=""/>
      <w:lvlJc w:val="left"/>
      <w:pPr>
        <w:ind w:left="4279" w:hanging="360"/>
      </w:pPr>
      <w:rPr>
        <w:rFonts w:ascii="Wingdings" w:hAnsi="Wingdings" w:hint="default"/>
      </w:rPr>
    </w:lvl>
    <w:lvl w:ilvl="6" w:tplc="040C0001" w:tentative="1">
      <w:start w:val="1"/>
      <w:numFmt w:val="bullet"/>
      <w:lvlText w:val=""/>
      <w:lvlJc w:val="left"/>
      <w:pPr>
        <w:ind w:left="4999" w:hanging="360"/>
      </w:pPr>
      <w:rPr>
        <w:rFonts w:ascii="Symbol" w:hAnsi="Symbol" w:hint="default"/>
      </w:rPr>
    </w:lvl>
    <w:lvl w:ilvl="7" w:tplc="040C0003" w:tentative="1">
      <w:start w:val="1"/>
      <w:numFmt w:val="bullet"/>
      <w:lvlText w:val="o"/>
      <w:lvlJc w:val="left"/>
      <w:pPr>
        <w:ind w:left="5719" w:hanging="360"/>
      </w:pPr>
      <w:rPr>
        <w:rFonts w:ascii="Courier New" w:hAnsi="Courier New" w:cs="Courier New" w:hint="default"/>
      </w:rPr>
    </w:lvl>
    <w:lvl w:ilvl="8" w:tplc="040C0005" w:tentative="1">
      <w:start w:val="1"/>
      <w:numFmt w:val="bullet"/>
      <w:lvlText w:val=""/>
      <w:lvlJc w:val="left"/>
      <w:pPr>
        <w:ind w:left="6439" w:hanging="360"/>
      </w:pPr>
      <w:rPr>
        <w:rFonts w:ascii="Wingdings" w:hAnsi="Wingdings" w:hint="default"/>
      </w:rPr>
    </w:lvl>
  </w:abstractNum>
  <w:abstractNum w:abstractNumId="16"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ACD6D8A"/>
    <w:multiLevelType w:val="hybridMultilevel"/>
    <w:tmpl w:val="159677BA"/>
    <w:lvl w:ilvl="0" w:tplc="71207606">
      <w:numFmt w:val="bullet"/>
      <w:pStyle w:val="Listepuces1CCTP"/>
      <w:lvlText w:val=""/>
      <w:lvlJc w:val="left"/>
      <w:pPr>
        <w:tabs>
          <w:tab w:val="num" w:pos="360"/>
        </w:tabs>
        <w:ind w:left="340" w:hanging="340"/>
      </w:pPr>
      <w:rPr>
        <w:rFonts w:ascii="Symbol" w:eastAsia="Times New Roman" w:hAnsi="Symbol" w:cs="Helvetic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8F581B"/>
    <w:multiLevelType w:val="hybridMultilevel"/>
    <w:tmpl w:val="F0C44B56"/>
    <w:lvl w:ilvl="0" w:tplc="5FD28684">
      <w:start w:val="1"/>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F23B98"/>
    <w:multiLevelType w:val="hybridMultilevel"/>
    <w:tmpl w:val="6D3065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01E58FE"/>
    <w:multiLevelType w:val="multilevel"/>
    <w:tmpl w:val="A3C8DB5A"/>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0481CB8"/>
    <w:multiLevelType w:val="hybridMultilevel"/>
    <w:tmpl w:val="E3CC96D2"/>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21685039"/>
    <w:multiLevelType w:val="hybridMultilevel"/>
    <w:tmpl w:val="8E3ADB46"/>
    <w:lvl w:ilvl="0" w:tplc="B110668E">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AB0CDB"/>
    <w:multiLevelType w:val="hybridMultilevel"/>
    <w:tmpl w:val="AE824B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7C911EA"/>
    <w:multiLevelType w:val="hybridMultilevel"/>
    <w:tmpl w:val="DE6EBC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315C63"/>
    <w:multiLevelType w:val="hybridMultilevel"/>
    <w:tmpl w:val="149CF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A82A46"/>
    <w:multiLevelType w:val="multilevel"/>
    <w:tmpl w:val="250EE71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2ADF61F0"/>
    <w:multiLevelType w:val="hybridMultilevel"/>
    <w:tmpl w:val="2FD0AEA6"/>
    <w:lvl w:ilvl="0" w:tplc="B3682350">
      <w:numFmt w:val="bullet"/>
      <w:pStyle w:val="Findeliste"/>
      <w:lvlText w:val="-"/>
      <w:lvlJc w:val="left"/>
      <w:pPr>
        <w:ind w:left="720" w:hanging="360"/>
      </w:pPr>
      <w:rPr>
        <w:rFonts w:ascii="Century Gothic" w:eastAsia="Times New Roman"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1BB0C87"/>
    <w:multiLevelType w:val="hybridMultilevel"/>
    <w:tmpl w:val="9FD667F2"/>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1EA29ED"/>
    <w:multiLevelType w:val="singleLevel"/>
    <w:tmpl w:val="A2CABB90"/>
    <w:lvl w:ilvl="0">
      <w:start w:val="1"/>
      <w:numFmt w:val="bullet"/>
      <w:pStyle w:val="TIndent2Alt2"/>
      <w:lvlText w:val=""/>
      <w:lvlJc w:val="left"/>
      <w:pPr>
        <w:tabs>
          <w:tab w:val="num" w:pos="2157"/>
        </w:tabs>
        <w:ind w:left="2157" w:hanging="360"/>
      </w:pPr>
      <w:rPr>
        <w:rFonts w:ascii="Symbol" w:hAnsi="Symbol" w:hint="default"/>
        <w:sz w:val="16"/>
        <w:szCs w:val="16"/>
      </w:rPr>
    </w:lvl>
  </w:abstractNum>
  <w:abstractNum w:abstractNumId="30" w15:restartNumberingAfterBreak="0">
    <w:nsid w:val="33725849"/>
    <w:multiLevelType w:val="hybridMultilevel"/>
    <w:tmpl w:val="525ADB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8931E2F"/>
    <w:multiLevelType w:val="hybridMultilevel"/>
    <w:tmpl w:val="3DF4430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38BF33E7"/>
    <w:multiLevelType w:val="hybridMultilevel"/>
    <w:tmpl w:val="B3FEBDC0"/>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3956479A"/>
    <w:multiLevelType w:val="hybridMultilevel"/>
    <w:tmpl w:val="6AE2D87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4B34858"/>
    <w:multiLevelType w:val="hybridMultilevel"/>
    <w:tmpl w:val="C4441B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68239AC"/>
    <w:multiLevelType w:val="hybridMultilevel"/>
    <w:tmpl w:val="9654A9BE"/>
    <w:lvl w:ilvl="0" w:tplc="040C0001">
      <w:start w:val="1"/>
      <w:numFmt w:val="bullet"/>
      <w:lvlText w:val=""/>
      <w:lvlJc w:val="left"/>
      <w:pPr>
        <w:tabs>
          <w:tab w:val="num" w:pos="927"/>
        </w:tabs>
        <w:ind w:left="927" w:hanging="360"/>
      </w:pPr>
      <w:rPr>
        <w:rFonts w:ascii="Symbol" w:hAnsi="Symbol" w:hint="default"/>
      </w:rPr>
    </w:lvl>
    <w:lvl w:ilvl="1" w:tplc="040C0003">
      <w:start w:val="1"/>
      <w:numFmt w:val="bullet"/>
      <w:lvlText w:val="o"/>
      <w:lvlJc w:val="left"/>
      <w:pPr>
        <w:tabs>
          <w:tab w:val="num" w:pos="1723"/>
        </w:tabs>
        <w:ind w:left="1723" w:hanging="360"/>
      </w:pPr>
      <w:rPr>
        <w:rFonts w:ascii="Courier New" w:hAnsi="Courier New" w:cs="Courier New" w:hint="default"/>
      </w:rPr>
    </w:lvl>
    <w:lvl w:ilvl="2" w:tplc="040C0005">
      <w:start w:val="1"/>
      <w:numFmt w:val="bullet"/>
      <w:lvlText w:val=""/>
      <w:lvlJc w:val="left"/>
      <w:pPr>
        <w:tabs>
          <w:tab w:val="num" w:pos="2443"/>
        </w:tabs>
        <w:ind w:left="2443" w:hanging="360"/>
      </w:pPr>
      <w:rPr>
        <w:rFonts w:ascii="Wingdings" w:hAnsi="Wingdings" w:cs="Wingdings" w:hint="default"/>
      </w:rPr>
    </w:lvl>
    <w:lvl w:ilvl="3" w:tplc="040C0001">
      <w:start w:val="1"/>
      <w:numFmt w:val="bullet"/>
      <w:lvlText w:val=""/>
      <w:lvlJc w:val="left"/>
      <w:pPr>
        <w:tabs>
          <w:tab w:val="num" w:pos="3163"/>
        </w:tabs>
        <w:ind w:left="3163" w:hanging="360"/>
      </w:pPr>
      <w:rPr>
        <w:rFonts w:ascii="Symbol" w:hAnsi="Symbol" w:cs="Symbol" w:hint="default"/>
      </w:rPr>
    </w:lvl>
    <w:lvl w:ilvl="4" w:tplc="040C0003">
      <w:start w:val="1"/>
      <w:numFmt w:val="bullet"/>
      <w:lvlText w:val="o"/>
      <w:lvlJc w:val="left"/>
      <w:pPr>
        <w:tabs>
          <w:tab w:val="num" w:pos="3883"/>
        </w:tabs>
        <w:ind w:left="3883" w:hanging="360"/>
      </w:pPr>
      <w:rPr>
        <w:rFonts w:ascii="Courier New" w:hAnsi="Courier New" w:cs="Courier New" w:hint="default"/>
      </w:rPr>
    </w:lvl>
    <w:lvl w:ilvl="5" w:tplc="040C0005">
      <w:start w:val="1"/>
      <w:numFmt w:val="bullet"/>
      <w:lvlText w:val=""/>
      <w:lvlJc w:val="left"/>
      <w:pPr>
        <w:tabs>
          <w:tab w:val="num" w:pos="4603"/>
        </w:tabs>
        <w:ind w:left="4603" w:hanging="360"/>
      </w:pPr>
      <w:rPr>
        <w:rFonts w:ascii="Wingdings" w:hAnsi="Wingdings" w:cs="Wingdings" w:hint="default"/>
      </w:rPr>
    </w:lvl>
    <w:lvl w:ilvl="6" w:tplc="040C0001">
      <w:start w:val="1"/>
      <w:numFmt w:val="bullet"/>
      <w:lvlText w:val=""/>
      <w:lvlJc w:val="left"/>
      <w:pPr>
        <w:tabs>
          <w:tab w:val="num" w:pos="5323"/>
        </w:tabs>
        <w:ind w:left="5323" w:hanging="360"/>
      </w:pPr>
      <w:rPr>
        <w:rFonts w:ascii="Symbol" w:hAnsi="Symbol" w:cs="Symbol" w:hint="default"/>
      </w:rPr>
    </w:lvl>
    <w:lvl w:ilvl="7" w:tplc="040C0003">
      <w:start w:val="1"/>
      <w:numFmt w:val="bullet"/>
      <w:lvlText w:val="o"/>
      <w:lvlJc w:val="left"/>
      <w:pPr>
        <w:tabs>
          <w:tab w:val="num" w:pos="6043"/>
        </w:tabs>
        <w:ind w:left="6043" w:hanging="360"/>
      </w:pPr>
      <w:rPr>
        <w:rFonts w:ascii="Courier New" w:hAnsi="Courier New" w:cs="Courier New" w:hint="default"/>
      </w:rPr>
    </w:lvl>
    <w:lvl w:ilvl="8" w:tplc="040C0005">
      <w:start w:val="1"/>
      <w:numFmt w:val="bullet"/>
      <w:lvlText w:val=""/>
      <w:lvlJc w:val="left"/>
      <w:pPr>
        <w:tabs>
          <w:tab w:val="num" w:pos="6763"/>
        </w:tabs>
        <w:ind w:left="6763" w:hanging="360"/>
      </w:pPr>
      <w:rPr>
        <w:rFonts w:ascii="Wingdings" w:hAnsi="Wingdings" w:cs="Wingdings" w:hint="default"/>
      </w:rPr>
    </w:lvl>
  </w:abstractNum>
  <w:abstractNum w:abstractNumId="36" w15:restartNumberingAfterBreak="0">
    <w:nsid w:val="4C354104"/>
    <w:multiLevelType w:val="singleLevel"/>
    <w:tmpl w:val="18D02EEA"/>
    <w:lvl w:ilvl="0">
      <w:start w:val="1"/>
      <w:numFmt w:val="bullet"/>
      <w:pStyle w:val="EnumTab"/>
      <w:lvlText w:val=""/>
      <w:lvlJc w:val="left"/>
      <w:pPr>
        <w:tabs>
          <w:tab w:val="num" w:pos="425"/>
        </w:tabs>
        <w:ind w:left="425" w:hanging="368"/>
      </w:pPr>
      <w:rPr>
        <w:rFonts w:ascii="Wingdings" w:hAnsi="Wingdings" w:hint="default"/>
      </w:rPr>
    </w:lvl>
  </w:abstractNum>
  <w:abstractNum w:abstractNumId="37" w15:restartNumberingAfterBreak="0">
    <w:nsid w:val="4C8E3A8E"/>
    <w:multiLevelType w:val="hybridMultilevel"/>
    <w:tmpl w:val="37A402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FB80E2E"/>
    <w:multiLevelType w:val="hybridMultilevel"/>
    <w:tmpl w:val="45DC568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517949FC"/>
    <w:multiLevelType w:val="hybridMultilevel"/>
    <w:tmpl w:val="0A1E85C6"/>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533A2296"/>
    <w:multiLevelType w:val="hybridMultilevel"/>
    <w:tmpl w:val="FBA6AD12"/>
    <w:lvl w:ilvl="0" w:tplc="040C0001">
      <w:start w:val="1"/>
      <w:numFmt w:val="bullet"/>
      <w:pStyle w:val="TIndent1Alt1CharChar1Char"/>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41" w15:restartNumberingAfterBreak="0">
    <w:nsid w:val="5B2B4B12"/>
    <w:multiLevelType w:val="hybridMultilevel"/>
    <w:tmpl w:val="7DD493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CA5673D"/>
    <w:multiLevelType w:val="hybridMultilevel"/>
    <w:tmpl w:val="AF32C20E"/>
    <w:lvl w:ilvl="0" w:tplc="296687F2">
      <w:start w:val="1"/>
      <w:numFmt w:val="bullet"/>
      <w:lvlText w:val="-"/>
      <w:lvlJc w:val="left"/>
      <w:pPr>
        <w:tabs>
          <w:tab w:val="num" w:pos="717"/>
        </w:tabs>
        <w:ind w:left="717" w:hanging="360"/>
      </w:pPr>
      <w:rPr>
        <w:rFonts w:ascii="Arial" w:hAnsi="Arial" w:hint="default"/>
      </w:rPr>
    </w:lvl>
    <w:lvl w:ilvl="1" w:tplc="040C0003" w:tentative="1">
      <w:start w:val="1"/>
      <w:numFmt w:val="bullet"/>
      <w:lvlText w:val="o"/>
      <w:lvlJc w:val="left"/>
      <w:pPr>
        <w:tabs>
          <w:tab w:val="num" w:pos="-3"/>
        </w:tabs>
        <w:ind w:left="-3" w:hanging="360"/>
      </w:pPr>
      <w:rPr>
        <w:rFonts w:ascii="Courier New" w:hAnsi="Courier New" w:cs="Courier New" w:hint="default"/>
      </w:rPr>
    </w:lvl>
    <w:lvl w:ilvl="2" w:tplc="040C0005" w:tentative="1">
      <w:start w:val="1"/>
      <w:numFmt w:val="bullet"/>
      <w:lvlText w:val=""/>
      <w:lvlJc w:val="left"/>
      <w:pPr>
        <w:tabs>
          <w:tab w:val="num" w:pos="717"/>
        </w:tabs>
        <w:ind w:left="717" w:hanging="360"/>
      </w:pPr>
      <w:rPr>
        <w:rFonts w:ascii="Wingdings" w:hAnsi="Wingdings" w:hint="default"/>
      </w:rPr>
    </w:lvl>
    <w:lvl w:ilvl="3" w:tplc="040C0001" w:tentative="1">
      <w:start w:val="1"/>
      <w:numFmt w:val="bullet"/>
      <w:lvlText w:val=""/>
      <w:lvlJc w:val="left"/>
      <w:pPr>
        <w:tabs>
          <w:tab w:val="num" w:pos="1437"/>
        </w:tabs>
        <w:ind w:left="1437" w:hanging="360"/>
      </w:pPr>
      <w:rPr>
        <w:rFonts w:ascii="Symbol" w:hAnsi="Symbol" w:hint="default"/>
      </w:rPr>
    </w:lvl>
    <w:lvl w:ilvl="4" w:tplc="040C0003" w:tentative="1">
      <w:start w:val="1"/>
      <w:numFmt w:val="bullet"/>
      <w:lvlText w:val="o"/>
      <w:lvlJc w:val="left"/>
      <w:pPr>
        <w:tabs>
          <w:tab w:val="num" w:pos="2157"/>
        </w:tabs>
        <w:ind w:left="2157" w:hanging="360"/>
      </w:pPr>
      <w:rPr>
        <w:rFonts w:ascii="Courier New" w:hAnsi="Courier New" w:cs="Courier New" w:hint="default"/>
      </w:rPr>
    </w:lvl>
    <w:lvl w:ilvl="5" w:tplc="040C0005" w:tentative="1">
      <w:start w:val="1"/>
      <w:numFmt w:val="bullet"/>
      <w:lvlText w:val=""/>
      <w:lvlJc w:val="left"/>
      <w:pPr>
        <w:tabs>
          <w:tab w:val="num" w:pos="2877"/>
        </w:tabs>
        <w:ind w:left="2877" w:hanging="360"/>
      </w:pPr>
      <w:rPr>
        <w:rFonts w:ascii="Wingdings" w:hAnsi="Wingdings" w:hint="default"/>
      </w:rPr>
    </w:lvl>
    <w:lvl w:ilvl="6" w:tplc="040C0001" w:tentative="1">
      <w:start w:val="1"/>
      <w:numFmt w:val="bullet"/>
      <w:lvlText w:val=""/>
      <w:lvlJc w:val="left"/>
      <w:pPr>
        <w:tabs>
          <w:tab w:val="num" w:pos="3597"/>
        </w:tabs>
        <w:ind w:left="3597" w:hanging="360"/>
      </w:pPr>
      <w:rPr>
        <w:rFonts w:ascii="Symbol" w:hAnsi="Symbol" w:hint="default"/>
      </w:rPr>
    </w:lvl>
    <w:lvl w:ilvl="7" w:tplc="040C0003" w:tentative="1">
      <w:start w:val="1"/>
      <w:numFmt w:val="bullet"/>
      <w:lvlText w:val="o"/>
      <w:lvlJc w:val="left"/>
      <w:pPr>
        <w:tabs>
          <w:tab w:val="num" w:pos="4317"/>
        </w:tabs>
        <w:ind w:left="4317" w:hanging="360"/>
      </w:pPr>
      <w:rPr>
        <w:rFonts w:ascii="Courier New" w:hAnsi="Courier New" w:cs="Courier New" w:hint="default"/>
      </w:rPr>
    </w:lvl>
    <w:lvl w:ilvl="8" w:tplc="040C0005" w:tentative="1">
      <w:start w:val="1"/>
      <w:numFmt w:val="bullet"/>
      <w:lvlText w:val=""/>
      <w:lvlJc w:val="left"/>
      <w:pPr>
        <w:tabs>
          <w:tab w:val="num" w:pos="5037"/>
        </w:tabs>
        <w:ind w:left="5037" w:hanging="360"/>
      </w:pPr>
      <w:rPr>
        <w:rFonts w:ascii="Wingdings" w:hAnsi="Wingdings" w:hint="default"/>
      </w:rPr>
    </w:lvl>
  </w:abstractNum>
  <w:abstractNum w:abstractNumId="43" w15:restartNumberingAfterBreak="0">
    <w:nsid w:val="693C6721"/>
    <w:multiLevelType w:val="hybridMultilevel"/>
    <w:tmpl w:val="6EE4959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69D96CC6"/>
    <w:multiLevelType w:val="hybridMultilevel"/>
    <w:tmpl w:val="78BA1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6031E2F"/>
    <w:multiLevelType w:val="hybridMultilevel"/>
    <w:tmpl w:val="3620E030"/>
    <w:lvl w:ilvl="0" w:tplc="040C000D">
      <w:start w:val="1"/>
      <w:numFmt w:val="bullet"/>
      <w:lvlText w:val=""/>
      <w:lvlJc w:val="left"/>
      <w:pPr>
        <w:ind w:left="679" w:hanging="360"/>
      </w:pPr>
      <w:rPr>
        <w:rFonts w:ascii="Wingdings" w:hAnsi="Wingdings" w:hint="default"/>
      </w:rPr>
    </w:lvl>
    <w:lvl w:ilvl="1" w:tplc="040C0003" w:tentative="1">
      <w:start w:val="1"/>
      <w:numFmt w:val="bullet"/>
      <w:lvlText w:val="o"/>
      <w:lvlJc w:val="left"/>
      <w:pPr>
        <w:ind w:left="1399" w:hanging="360"/>
      </w:pPr>
      <w:rPr>
        <w:rFonts w:ascii="Courier New" w:hAnsi="Courier New" w:cs="Courier New" w:hint="default"/>
      </w:rPr>
    </w:lvl>
    <w:lvl w:ilvl="2" w:tplc="040C0005" w:tentative="1">
      <w:start w:val="1"/>
      <w:numFmt w:val="bullet"/>
      <w:lvlText w:val=""/>
      <w:lvlJc w:val="left"/>
      <w:pPr>
        <w:ind w:left="2119" w:hanging="360"/>
      </w:pPr>
      <w:rPr>
        <w:rFonts w:ascii="Wingdings" w:hAnsi="Wingdings" w:hint="default"/>
      </w:rPr>
    </w:lvl>
    <w:lvl w:ilvl="3" w:tplc="040C0001" w:tentative="1">
      <w:start w:val="1"/>
      <w:numFmt w:val="bullet"/>
      <w:lvlText w:val=""/>
      <w:lvlJc w:val="left"/>
      <w:pPr>
        <w:ind w:left="2839" w:hanging="360"/>
      </w:pPr>
      <w:rPr>
        <w:rFonts w:ascii="Symbol" w:hAnsi="Symbol" w:hint="default"/>
      </w:rPr>
    </w:lvl>
    <w:lvl w:ilvl="4" w:tplc="040C0003" w:tentative="1">
      <w:start w:val="1"/>
      <w:numFmt w:val="bullet"/>
      <w:lvlText w:val="o"/>
      <w:lvlJc w:val="left"/>
      <w:pPr>
        <w:ind w:left="3559" w:hanging="360"/>
      </w:pPr>
      <w:rPr>
        <w:rFonts w:ascii="Courier New" w:hAnsi="Courier New" w:cs="Courier New" w:hint="default"/>
      </w:rPr>
    </w:lvl>
    <w:lvl w:ilvl="5" w:tplc="040C0005" w:tentative="1">
      <w:start w:val="1"/>
      <w:numFmt w:val="bullet"/>
      <w:lvlText w:val=""/>
      <w:lvlJc w:val="left"/>
      <w:pPr>
        <w:ind w:left="4279" w:hanging="360"/>
      </w:pPr>
      <w:rPr>
        <w:rFonts w:ascii="Wingdings" w:hAnsi="Wingdings" w:hint="default"/>
      </w:rPr>
    </w:lvl>
    <w:lvl w:ilvl="6" w:tplc="040C0001" w:tentative="1">
      <w:start w:val="1"/>
      <w:numFmt w:val="bullet"/>
      <w:lvlText w:val=""/>
      <w:lvlJc w:val="left"/>
      <w:pPr>
        <w:ind w:left="4999" w:hanging="360"/>
      </w:pPr>
      <w:rPr>
        <w:rFonts w:ascii="Symbol" w:hAnsi="Symbol" w:hint="default"/>
      </w:rPr>
    </w:lvl>
    <w:lvl w:ilvl="7" w:tplc="040C0003" w:tentative="1">
      <w:start w:val="1"/>
      <w:numFmt w:val="bullet"/>
      <w:lvlText w:val="o"/>
      <w:lvlJc w:val="left"/>
      <w:pPr>
        <w:ind w:left="5719" w:hanging="360"/>
      </w:pPr>
      <w:rPr>
        <w:rFonts w:ascii="Courier New" w:hAnsi="Courier New" w:cs="Courier New" w:hint="default"/>
      </w:rPr>
    </w:lvl>
    <w:lvl w:ilvl="8" w:tplc="040C0005" w:tentative="1">
      <w:start w:val="1"/>
      <w:numFmt w:val="bullet"/>
      <w:lvlText w:val=""/>
      <w:lvlJc w:val="left"/>
      <w:pPr>
        <w:ind w:left="6439" w:hanging="360"/>
      </w:pPr>
      <w:rPr>
        <w:rFonts w:ascii="Wingdings" w:hAnsi="Wingdings" w:hint="default"/>
      </w:rPr>
    </w:lvl>
  </w:abstractNum>
  <w:abstractNum w:abstractNumId="47" w15:restartNumberingAfterBreak="0">
    <w:nsid w:val="791A3D51"/>
    <w:multiLevelType w:val="hybridMultilevel"/>
    <w:tmpl w:val="5BAC6156"/>
    <w:lvl w:ilvl="0" w:tplc="AE208D26">
      <w:start w:val="1"/>
      <w:numFmt w:val="bullet"/>
      <w:pStyle w:val="listesimple"/>
      <w:lvlText w:val="-"/>
      <w:lvlJc w:val="left"/>
      <w:pPr>
        <w:ind w:left="720" w:hanging="360"/>
      </w:pPr>
      <w:rPr>
        <w:rFonts w:ascii="Book Antiqua" w:eastAsia="Times New Roman" w:hAnsi="Book Antiqu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BE026A2"/>
    <w:multiLevelType w:val="hybridMultilevel"/>
    <w:tmpl w:val="9AC61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DAE3DF4"/>
    <w:multiLevelType w:val="hybridMultilevel"/>
    <w:tmpl w:val="EF949A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20"/>
  </w:num>
  <w:num w:numId="3">
    <w:abstractNumId w:val="16"/>
  </w:num>
  <w:num w:numId="4">
    <w:abstractNumId w:val="14"/>
  </w:num>
  <w:num w:numId="5">
    <w:abstractNumId w:val="17"/>
  </w:num>
  <w:num w:numId="6">
    <w:abstractNumId w:val="29"/>
  </w:num>
  <w:num w:numId="7">
    <w:abstractNumId w:val="45"/>
  </w:num>
  <w:num w:numId="8">
    <w:abstractNumId w:val="26"/>
  </w:num>
  <w:num w:numId="9">
    <w:abstractNumId w:val="36"/>
  </w:num>
  <w:num w:numId="10">
    <w:abstractNumId w:val="23"/>
  </w:num>
  <w:num w:numId="11">
    <w:abstractNumId w:val="25"/>
  </w:num>
  <w:num w:numId="12">
    <w:abstractNumId w:val="19"/>
  </w:num>
  <w:num w:numId="13">
    <w:abstractNumId w:val="13"/>
  </w:num>
  <w:num w:numId="14">
    <w:abstractNumId w:val="34"/>
  </w:num>
  <w:num w:numId="15">
    <w:abstractNumId w:val="41"/>
  </w:num>
  <w:num w:numId="16">
    <w:abstractNumId w:val="49"/>
  </w:num>
  <w:num w:numId="17">
    <w:abstractNumId w:val="21"/>
  </w:num>
  <w:num w:numId="18">
    <w:abstractNumId w:val="32"/>
  </w:num>
  <w:num w:numId="19">
    <w:abstractNumId w:val="12"/>
  </w:num>
  <w:num w:numId="20">
    <w:abstractNumId w:val="28"/>
  </w:num>
  <w:num w:numId="21">
    <w:abstractNumId w:val="39"/>
  </w:num>
  <w:num w:numId="22">
    <w:abstractNumId w:val="31"/>
  </w:num>
  <w:num w:numId="23">
    <w:abstractNumId w:val="42"/>
  </w:num>
  <w:num w:numId="24">
    <w:abstractNumId w:val="35"/>
  </w:num>
  <w:num w:numId="25">
    <w:abstractNumId w:val="38"/>
  </w:num>
  <w:num w:numId="26">
    <w:abstractNumId w:val="33"/>
  </w:num>
  <w:num w:numId="27">
    <w:abstractNumId w:val="48"/>
  </w:num>
  <w:num w:numId="28">
    <w:abstractNumId w:val="44"/>
  </w:num>
  <w:num w:numId="29">
    <w:abstractNumId w:val="37"/>
  </w:num>
  <w:num w:numId="30">
    <w:abstractNumId w:val="43"/>
  </w:num>
  <w:num w:numId="31">
    <w:abstractNumId w:val="24"/>
  </w:num>
  <w:num w:numId="32">
    <w:abstractNumId w:val="15"/>
  </w:num>
  <w:num w:numId="33">
    <w:abstractNumId w:val="46"/>
  </w:num>
  <w:num w:numId="34">
    <w:abstractNumId w:val="0"/>
  </w:num>
  <w:num w:numId="35">
    <w:abstractNumId w:val="27"/>
  </w:num>
  <w:num w:numId="36">
    <w:abstractNumId w:val="22"/>
  </w:num>
  <w:num w:numId="37">
    <w:abstractNumId w:val="18"/>
  </w:num>
  <w:num w:numId="38">
    <w:abstractNumId w:val="47"/>
  </w:num>
  <w:num w:numId="39">
    <w:abstractNumId w:val="11"/>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6F1"/>
    <w:rsid w:val="0000052B"/>
    <w:rsid w:val="000007CA"/>
    <w:rsid w:val="000009DE"/>
    <w:rsid w:val="0000169E"/>
    <w:rsid w:val="00002F35"/>
    <w:rsid w:val="000034C1"/>
    <w:rsid w:val="000043D2"/>
    <w:rsid w:val="00004A5E"/>
    <w:rsid w:val="0000560E"/>
    <w:rsid w:val="00005691"/>
    <w:rsid w:val="00005829"/>
    <w:rsid w:val="0000686E"/>
    <w:rsid w:val="000077BF"/>
    <w:rsid w:val="00007D8A"/>
    <w:rsid w:val="00007EC5"/>
    <w:rsid w:val="0001088E"/>
    <w:rsid w:val="00010B87"/>
    <w:rsid w:val="000113C4"/>
    <w:rsid w:val="00011768"/>
    <w:rsid w:val="00012696"/>
    <w:rsid w:val="00012F17"/>
    <w:rsid w:val="000131E5"/>
    <w:rsid w:val="00013860"/>
    <w:rsid w:val="00014728"/>
    <w:rsid w:val="000147EF"/>
    <w:rsid w:val="000147F8"/>
    <w:rsid w:val="0001536E"/>
    <w:rsid w:val="00015562"/>
    <w:rsid w:val="00017368"/>
    <w:rsid w:val="00017A4F"/>
    <w:rsid w:val="00017A50"/>
    <w:rsid w:val="0002016E"/>
    <w:rsid w:val="00021CD8"/>
    <w:rsid w:val="0002217A"/>
    <w:rsid w:val="0002260C"/>
    <w:rsid w:val="00022903"/>
    <w:rsid w:val="000233A3"/>
    <w:rsid w:val="000233F3"/>
    <w:rsid w:val="00023CD9"/>
    <w:rsid w:val="00024029"/>
    <w:rsid w:val="000241EC"/>
    <w:rsid w:val="000246CF"/>
    <w:rsid w:val="0002521C"/>
    <w:rsid w:val="00025E30"/>
    <w:rsid w:val="00027B1F"/>
    <w:rsid w:val="00030341"/>
    <w:rsid w:val="0003086A"/>
    <w:rsid w:val="000308A8"/>
    <w:rsid w:val="0003189B"/>
    <w:rsid w:val="00031C19"/>
    <w:rsid w:val="0003203F"/>
    <w:rsid w:val="00032A72"/>
    <w:rsid w:val="00033503"/>
    <w:rsid w:val="00033612"/>
    <w:rsid w:val="00033EAA"/>
    <w:rsid w:val="00034DB4"/>
    <w:rsid w:val="0003510B"/>
    <w:rsid w:val="0003571D"/>
    <w:rsid w:val="00035BEA"/>
    <w:rsid w:val="0003619F"/>
    <w:rsid w:val="00036D38"/>
    <w:rsid w:val="00037734"/>
    <w:rsid w:val="00037FF2"/>
    <w:rsid w:val="00040369"/>
    <w:rsid w:val="00040782"/>
    <w:rsid w:val="00041C3A"/>
    <w:rsid w:val="00042E57"/>
    <w:rsid w:val="0004358E"/>
    <w:rsid w:val="000436D7"/>
    <w:rsid w:val="00043E81"/>
    <w:rsid w:val="000446F1"/>
    <w:rsid w:val="00044AA7"/>
    <w:rsid w:val="00044CA2"/>
    <w:rsid w:val="00045A0D"/>
    <w:rsid w:val="00045BAA"/>
    <w:rsid w:val="0004659C"/>
    <w:rsid w:val="000465E9"/>
    <w:rsid w:val="00046789"/>
    <w:rsid w:val="000476AB"/>
    <w:rsid w:val="000500B2"/>
    <w:rsid w:val="0005016F"/>
    <w:rsid w:val="00051227"/>
    <w:rsid w:val="000524BC"/>
    <w:rsid w:val="0005290F"/>
    <w:rsid w:val="000529BD"/>
    <w:rsid w:val="00052CEF"/>
    <w:rsid w:val="00053027"/>
    <w:rsid w:val="0005337D"/>
    <w:rsid w:val="00053A1C"/>
    <w:rsid w:val="00053DBE"/>
    <w:rsid w:val="00053E0A"/>
    <w:rsid w:val="000543AD"/>
    <w:rsid w:val="000545CA"/>
    <w:rsid w:val="00054A3F"/>
    <w:rsid w:val="00054DAF"/>
    <w:rsid w:val="00055717"/>
    <w:rsid w:val="00055A5E"/>
    <w:rsid w:val="000567CA"/>
    <w:rsid w:val="00057AE1"/>
    <w:rsid w:val="00060C25"/>
    <w:rsid w:val="00060D45"/>
    <w:rsid w:val="00061199"/>
    <w:rsid w:val="00062C1A"/>
    <w:rsid w:val="0006329D"/>
    <w:rsid w:val="000634B2"/>
    <w:rsid w:val="00063CB5"/>
    <w:rsid w:val="00063D09"/>
    <w:rsid w:val="00064CE2"/>
    <w:rsid w:val="00065BBF"/>
    <w:rsid w:val="000665D8"/>
    <w:rsid w:val="00066958"/>
    <w:rsid w:val="00067413"/>
    <w:rsid w:val="00067E10"/>
    <w:rsid w:val="000706AE"/>
    <w:rsid w:val="00070B91"/>
    <w:rsid w:val="00070BD9"/>
    <w:rsid w:val="00070CE6"/>
    <w:rsid w:val="000714B1"/>
    <w:rsid w:val="0007174D"/>
    <w:rsid w:val="00072A39"/>
    <w:rsid w:val="00072C42"/>
    <w:rsid w:val="000731E8"/>
    <w:rsid w:val="00073404"/>
    <w:rsid w:val="000734B4"/>
    <w:rsid w:val="0007397F"/>
    <w:rsid w:val="00073E7C"/>
    <w:rsid w:val="000749A5"/>
    <w:rsid w:val="000752F5"/>
    <w:rsid w:val="00075870"/>
    <w:rsid w:val="000767B9"/>
    <w:rsid w:val="000768E9"/>
    <w:rsid w:val="00076FDB"/>
    <w:rsid w:val="00077D43"/>
    <w:rsid w:val="00077D4E"/>
    <w:rsid w:val="00077F9D"/>
    <w:rsid w:val="0008013D"/>
    <w:rsid w:val="00080D67"/>
    <w:rsid w:val="000812C4"/>
    <w:rsid w:val="00082277"/>
    <w:rsid w:val="00083764"/>
    <w:rsid w:val="00084BB0"/>
    <w:rsid w:val="00086610"/>
    <w:rsid w:val="0008677B"/>
    <w:rsid w:val="0008712C"/>
    <w:rsid w:val="00087511"/>
    <w:rsid w:val="00090365"/>
    <w:rsid w:val="0009112C"/>
    <w:rsid w:val="00091636"/>
    <w:rsid w:val="00091FFA"/>
    <w:rsid w:val="0009206A"/>
    <w:rsid w:val="000922E0"/>
    <w:rsid w:val="00093080"/>
    <w:rsid w:val="00093A24"/>
    <w:rsid w:val="00093C39"/>
    <w:rsid w:val="00093F83"/>
    <w:rsid w:val="00094CAF"/>
    <w:rsid w:val="0009556F"/>
    <w:rsid w:val="00095C7D"/>
    <w:rsid w:val="00095DCE"/>
    <w:rsid w:val="00096644"/>
    <w:rsid w:val="0009740E"/>
    <w:rsid w:val="0009772B"/>
    <w:rsid w:val="000A12C4"/>
    <w:rsid w:val="000A16CE"/>
    <w:rsid w:val="000A1D6F"/>
    <w:rsid w:val="000A2328"/>
    <w:rsid w:val="000A30F6"/>
    <w:rsid w:val="000A4307"/>
    <w:rsid w:val="000A4F78"/>
    <w:rsid w:val="000A519E"/>
    <w:rsid w:val="000A5D2A"/>
    <w:rsid w:val="000A644A"/>
    <w:rsid w:val="000A6D37"/>
    <w:rsid w:val="000A758C"/>
    <w:rsid w:val="000B10C4"/>
    <w:rsid w:val="000B1207"/>
    <w:rsid w:val="000B14E7"/>
    <w:rsid w:val="000B37A2"/>
    <w:rsid w:val="000B37AF"/>
    <w:rsid w:val="000B3D31"/>
    <w:rsid w:val="000B4C4B"/>
    <w:rsid w:val="000B4EC0"/>
    <w:rsid w:val="000B54FD"/>
    <w:rsid w:val="000B5EB5"/>
    <w:rsid w:val="000B65EB"/>
    <w:rsid w:val="000B7299"/>
    <w:rsid w:val="000B7E7F"/>
    <w:rsid w:val="000C0B89"/>
    <w:rsid w:val="000C3BD9"/>
    <w:rsid w:val="000C3D56"/>
    <w:rsid w:val="000C4330"/>
    <w:rsid w:val="000C4B05"/>
    <w:rsid w:val="000C5561"/>
    <w:rsid w:val="000C5800"/>
    <w:rsid w:val="000C690A"/>
    <w:rsid w:val="000C7005"/>
    <w:rsid w:val="000C7582"/>
    <w:rsid w:val="000D08FC"/>
    <w:rsid w:val="000D0A1C"/>
    <w:rsid w:val="000D123B"/>
    <w:rsid w:val="000D17C1"/>
    <w:rsid w:val="000D1F8E"/>
    <w:rsid w:val="000D307B"/>
    <w:rsid w:val="000D3457"/>
    <w:rsid w:val="000D3852"/>
    <w:rsid w:val="000D3C40"/>
    <w:rsid w:val="000D409C"/>
    <w:rsid w:val="000D44D3"/>
    <w:rsid w:val="000D5245"/>
    <w:rsid w:val="000D53B2"/>
    <w:rsid w:val="000D5D5D"/>
    <w:rsid w:val="000D7356"/>
    <w:rsid w:val="000E019A"/>
    <w:rsid w:val="000E02F2"/>
    <w:rsid w:val="000E07EE"/>
    <w:rsid w:val="000E1FE7"/>
    <w:rsid w:val="000E24EC"/>
    <w:rsid w:val="000E387E"/>
    <w:rsid w:val="000E5549"/>
    <w:rsid w:val="000E6413"/>
    <w:rsid w:val="000E719B"/>
    <w:rsid w:val="000E71BD"/>
    <w:rsid w:val="000F0182"/>
    <w:rsid w:val="000F03CD"/>
    <w:rsid w:val="000F1FAD"/>
    <w:rsid w:val="000F2026"/>
    <w:rsid w:val="000F21D6"/>
    <w:rsid w:val="000F226E"/>
    <w:rsid w:val="000F228A"/>
    <w:rsid w:val="000F2BC0"/>
    <w:rsid w:val="000F43EF"/>
    <w:rsid w:val="000F44E2"/>
    <w:rsid w:val="000F484E"/>
    <w:rsid w:val="000F544B"/>
    <w:rsid w:val="000F5ADB"/>
    <w:rsid w:val="000F5AF6"/>
    <w:rsid w:val="000F6068"/>
    <w:rsid w:val="000F6BCF"/>
    <w:rsid w:val="000F7F3E"/>
    <w:rsid w:val="001000FE"/>
    <w:rsid w:val="001006FA"/>
    <w:rsid w:val="0010153A"/>
    <w:rsid w:val="001015F7"/>
    <w:rsid w:val="0010174E"/>
    <w:rsid w:val="001018FA"/>
    <w:rsid w:val="00101AE4"/>
    <w:rsid w:val="0010256D"/>
    <w:rsid w:val="0010267C"/>
    <w:rsid w:val="001027EA"/>
    <w:rsid w:val="00103870"/>
    <w:rsid w:val="00103E93"/>
    <w:rsid w:val="00103FD2"/>
    <w:rsid w:val="00104451"/>
    <w:rsid w:val="001045C8"/>
    <w:rsid w:val="00104D09"/>
    <w:rsid w:val="00104F65"/>
    <w:rsid w:val="001053CA"/>
    <w:rsid w:val="001054E0"/>
    <w:rsid w:val="001055B1"/>
    <w:rsid w:val="00105B64"/>
    <w:rsid w:val="00105C6F"/>
    <w:rsid w:val="00105CA4"/>
    <w:rsid w:val="001068D2"/>
    <w:rsid w:val="00107295"/>
    <w:rsid w:val="00107330"/>
    <w:rsid w:val="001077A3"/>
    <w:rsid w:val="001078B0"/>
    <w:rsid w:val="00107AF3"/>
    <w:rsid w:val="0011078D"/>
    <w:rsid w:val="00111DD6"/>
    <w:rsid w:val="00112B25"/>
    <w:rsid w:val="001132F0"/>
    <w:rsid w:val="00113C39"/>
    <w:rsid w:val="00114560"/>
    <w:rsid w:val="0011470E"/>
    <w:rsid w:val="00114FC5"/>
    <w:rsid w:val="00115F03"/>
    <w:rsid w:val="00116CF1"/>
    <w:rsid w:val="00117349"/>
    <w:rsid w:val="00117732"/>
    <w:rsid w:val="0012069E"/>
    <w:rsid w:val="0012103B"/>
    <w:rsid w:val="00121770"/>
    <w:rsid w:val="001235B1"/>
    <w:rsid w:val="001239A3"/>
    <w:rsid w:val="00123E74"/>
    <w:rsid w:val="00123EE9"/>
    <w:rsid w:val="00124048"/>
    <w:rsid w:val="0012416C"/>
    <w:rsid w:val="00124630"/>
    <w:rsid w:val="00124B20"/>
    <w:rsid w:val="00124E83"/>
    <w:rsid w:val="00125128"/>
    <w:rsid w:val="001251A4"/>
    <w:rsid w:val="001252BD"/>
    <w:rsid w:val="0012533A"/>
    <w:rsid w:val="00126305"/>
    <w:rsid w:val="00127202"/>
    <w:rsid w:val="001273FE"/>
    <w:rsid w:val="00127536"/>
    <w:rsid w:val="00127653"/>
    <w:rsid w:val="001278E1"/>
    <w:rsid w:val="00127BF9"/>
    <w:rsid w:val="0013050C"/>
    <w:rsid w:val="001305FB"/>
    <w:rsid w:val="001308AF"/>
    <w:rsid w:val="00132BF7"/>
    <w:rsid w:val="00133506"/>
    <w:rsid w:val="00133912"/>
    <w:rsid w:val="00133D25"/>
    <w:rsid w:val="00134284"/>
    <w:rsid w:val="00134F6E"/>
    <w:rsid w:val="00135951"/>
    <w:rsid w:val="00135A87"/>
    <w:rsid w:val="00135B08"/>
    <w:rsid w:val="00136AE0"/>
    <w:rsid w:val="0013706F"/>
    <w:rsid w:val="00137205"/>
    <w:rsid w:val="001376E4"/>
    <w:rsid w:val="00137B97"/>
    <w:rsid w:val="001407E5"/>
    <w:rsid w:val="00140B84"/>
    <w:rsid w:val="00141AAD"/>
    <w:rsid w:val="00141F54"/>
    <w:rsid w:val="0014280F"/>
    <w:rsid w:val="001438BD"/>
    <w:rsid w:val="00143A67"/>
    <w:rsid w:val="00143EBC"/>
    <w:rsid w:val="00144E0C"/>
    <w:rsid w:val="00145C61"/>
    <w:rsid w:val="00145E58"/>
    <w:rsid w:val="0014752A"/>
    <w:rsid w:val="00147C7B"/>
    <w:rsid w:val="00150DB6"/>
    <w:rsid w:val="00151515"/>
    <w:rsid w:val="00151706"/>
    <w:rsid w:val="00152F3C"/>
    <w:rsid w:val="0015309C"/>
    <w:rsid w:val="001530AA"/>
    <w:rsid w:val="00153440"/>
    <w:rsid w:val="001535E8"/>
    <w:rsid w:val="00153657"/>
    <w:rsid w:val="001536A1"/>
    <w:rsid w:val="00154344"/>
    <w:rsid w:val="001543B6"/>
    <w:rsid w:val="00156E85"/>
    <w:rsid w:val="00156EAC"/>
    <w:rsid w:val="001571C8"/>
    <w:rsid w:val="00160026"/>
    <w:rsid w:val="00160B94"/>
    <w:rsid w:val="00162046"/>
    <w:rsid w:val="001630DB"/>
    <w:rsid w:val="00163E8F"/>
    <w:rsid w:val="00165440"/>
    <w:rsid w:val="00165662"/>
    <w:rsid w:val="00165698"/>
    <w:rsid w:val="001659F9"/>
    <w:rsid w:val="00167355"/>
    <w:rsid w:val="00167A7B"/>
    <w:rsid w:val="00170155"/>
    <w:rsid w:val="00170C1D"/>
    <w:rsid w:val="00170DCE"/>
    <w:rsid w:val="00171211"/>
    <w:rsid w:val="001712A6"/>
    <w:rsid w:val="00171375"/>
    <w:rsid w:val="001716DE"/>
    <w:rsid w:val="001718DA"/>
    <w:rsid w:val="00171F62"/>
    <w:rsid w:val="00172784"/>
    <w:rsid w:val="001728CB"/>
    <w:rsid w:val="00172F9E"/>
    <w:rsid w:val="00173757"/>
    <w:rsid w:val="001739A5"/>
    <w:rsid w:val="00173BB6"/>
    <w:rsid w:val="00175B8E"/>
    <w:rsid w:val="00177A1B"/>
    <w:rsid w:val="0018074C"/>
    <w:rsid w:val="001816A5"/>
    <w:rsid w:val="001823C9"/>
    <w:rsid w:val="001825D2"/>
    <w:rsid w:val="0018407E"/>
    <w:rsid w:val="0018425C"/>
    <w:rsid w:val="00184476"/>
    <w:rsid w:val="00184B7B"/>
    <w:rsid w:val="00185182"/>
    <w:rsid w:val="00185304"/>
    <w:rsid w:val="001853A9"/>
    <w:rsid w:val="00186043"/>
    <w:rsid w:val="00187E8D"/>
    <w:rsid w:val="001907DD"/>
    <w:rsid w:val="0019097F"/>
    <w:rsid w:val="00191CAC"/>
    <w:rsid w:val="00192F46"/>
    <w:rsid w:val="00194802"/>
    <w:rsid w:val="0019493B"/>
    <w:rsid w:val="00194A03"/>
    <w:rsid w:val="00195D97"/>
    <w:rsid w:val="00196114"/>
    <w:rsid w:val="001962FF"/>
    <w:rsid w:val="00196861"/>
    <w:rsid w:val="00196CF6"/>
    <w:rsid w:val="00196FEB"/>
    <w:rsid w:val="001973FA"/>
    <w:rsid w:val="00197E48"/>
    <w:rsid w:val="001A035F"/>
    <w:rsid w:val="001A122A"/>
    <w:rsid w:val="001A14BF"/>
    <w:rsid w:val="001A17D9"/>
    <w:rsid w:val="001A411C"/>
    <w:rsid w:val="001A5441"/>
    <w:rsid w:val="001A564F"/>
    <w:rsid w:val="001A5881"/>
    <w:rsid w:val="001A5AC4"/>
    <w:rsid w:val="001A6AE0"/>
    <w:rsid w:val="001A71C2"/>
    <w:rsid w:val="001A7DCF"/>
    <w:rsid w:val="001B0069"/>
    <w:rsid w:val="001B1C83"/>
    <w:rsid w:val="001B23CF"/>
    <w:rsid w:val="001B2ABA"/>
    <w:rsid w:val="001B4ADA"/>
    <w:rsid w:val="001B76EC"/>
    <w:rsid w:val="001B78B4"/>
    <w:rsid w:val="001B7C1D"/>
    <w:rsid w:val="001C09D5"/>
    <w:rsid w:val="001C17A3"/>
    <w:rsid w:val="001C196F"/>
    <w:rsid w:val="001C2824"/>
    <w:rsid w:val="001C2B9A"/>
    <w:rsid w:val="001C46B5"/>
    <w:rsid w:val="001C49BA"/>
    <w:rsid w:val="001C4BD6"/>
    <w:rsid w:val="001C5083"/>
    <w:rsid w:val="001C50F8"/>
    <w:rsid w:val="001C5837"/>
    <w:rsid w:val="001C67FE"/>
    <w:rsid w:val="001C6CF8"/>
    <w:rsid w:val="001C6D38"/>
    <w:rsid w:val="001C7996"/>
    <w:rsid w:val="001C7D59"/>
    <w:rsid w:val="001C7D84"/>
    <w:rsid w:val="001D02C4"/>
    <w:rsid w:val="001D0469"/>
    <w:rsid w:val="001D1163"/>
    <w:rsid w:val="001D1339"/>
    <w:rsid w:val="001D151F"/>
    <w:rsid w:val="001D2C2E"/>
    <w:rsid w:val="001D48B6"/>
    <w:rsid w:val="001D5807"/>
    <w:rsid w:val="001D63EF"/>
    <w:rsid w:val="001D6CB4"/>
    <w:rsid w:val="001D7ACA"/>
    <w:rsid w:val="001D7E61"/>
    <w:rsid w:val="001E007C"/>
    <w:rsid w:val="001E02D1"/>
    <w:rsid w:val="001E032E"/>
    <w:rsid w:val="001E0718"/>
    <w:rsid w:val="001E0B0A"/>
    <w:rsid w:val="001E11ED"/>
    <w:rsid w:val="001E1A7A"/>
    <w:rsid w:val="001E1AA5"/>
    <w:rsid w:val="001E351F"/>
    <w:rsid w:val="001E36C7"/>
    <w:rsid w:val="001E4724"/>
    <w:rsid w:val="001E490A"/>
    <w:rsid w:val="001E6554"/>
    <w:rsid w:val="001E69E1"/>
    <w:rsid w:val="001E73DA"/>
    <w:rsid w:val="001E7A17"/>
    <w:rsid w:val="001E7ABA"/>
    <w:rsid w:val="001E7F62"/>
    <w:rsid w:val="001F0138"/>
    <w:rsid w:val="001F023D"/>
    <w:rsid w:val="001F02E0"/>
    <w:rsid w:val="001F0422"/>
    <w:rsid w:val="001F127F"/>
    <w:rsid w:val="001F25D7"/>
    <w:rsid w:val="001F2E35"/>
    <w:rsid w:val="001F4789"/>
    <w:rsid w:val="001F5D84"/>
    <w:rsid w:val="00200427"/>
    <w:rsid w:val="00200678"/>
    <w:rsid w:val="00200AE7"/>
    <w:rsid w:val="00200F54"/>
    <w:rsid w:val="002016AF"/>
    <w:rsid w:val="00201732"/>
    <w:rsid w:val="002029AA"/>
    <w:rsid w:val="00202EFC"/>
    <w:rsid w:val="002041F7"/>
    <w:rsid w:val="0020425C"/>
    <w:rsid w:val="00205FC2"/>
    <w:rsid w:val="00207BB1"/>
    <w:rsid w:val="00207CA9"/>
    <w:rsid w:val="0021018B"/>
    <w:rsid w:val="00211162"/>
    <w:rsid w:val="002121BD"/>
    <w:rsid w:val="00212551"/>
    <w:rsid w:val="00212730"/>
    <w:rsid w:val="00212888"/>
    <w:rsid w:val="00212BAF"/>
    <w:rsid w:val="002142E3"/>
    <w:rsid w:val="00214383"/>
    <w:rsid w:val="00214696"/>
    <w:rsid w:val="0021509F"/>
    <w:rsid w:val="002152C2"/>
    <w:rsid w:val="002153D6"/>
    <w:rsid w:val="0021573E"/>
    <w:rsid w:val="002159AB"/>
    <w:rsid w:val="00216138"/>
    <w:rsid w:val="00216BAF"/>
    <w:rsid w:val="00217279"/>
    <w:rsid w:val="0022026E"/>
    <w:rsid w:val="00220556"/>
    <w:rsid w:val="00220905"/>
    <w:rsid w:val="00220C76"/>
    <w:rsid w:val="00221068"/>
    <w:rsid w:val="00222382"/>
    <w:rsid w:val="00222FFA"/>
    <w:rsid w:val="002241F4"/>
    <w:rsid w:val="0022442B"/>
    <w:rsid w:val="00224623"/>
    <w:rsid w:val="00225140"/>
    <w:rsid w:val="00226395"/>
    <w:rsid w:val="00226617"/>
    <w:rsid w:val="002268EC"/>
    <w:rsid w:val="0022714A"/>
    <w:rsid w:val="002273FB"/>
    <w:rsid w:val="00227C69"/>
    <w:rsid w:val="002303D2"/>
    <w:rsid w:val="00230B6E"/>
    <w:rsid w:val="002315DB"/>
    <w:rsid w:val="00231ABA"/>
    <w:rsid w:val="00231ADE"/>
    <w:rsid w:val="00231B12"/>
    <w:rsid w:val="00233721"/>
    <w:rsid w:val="00233C86"/>
    <w:rsid w:val="00235404"/>
    <w:rsid w:val="0023567A"/>
    <w:rsid w:val="00235A22"/>
    <w:rsid w:val="00236206"/>
    <w:rsid w:val="00236D42"/>
    <w:rsid w:val="002376AB"/>
    <w:rsid w:val="00237713"/>
    <w:rsid w:val="00237F99"/>
    <w:rsid w:val="002408C8"/>
    <w:rsid w:val="00240F5C"/>
    <w:rsid w:val="002410DE"/>
    <w:rsid w:val="002412C9"/>
    <w:rsid w:val="00242440"/>
    <w:rsid w:val="00242B1C"/>
    <w:rsid w:val="00242C99"/>
    <w:rsid w:val="00242E6F"/>
    <w:rsid w:val="00243CDE"/>
    <w:rsid w:val="002455E6"/>
    <w:rsid w:val="00245C3F"/>
    <w:rsid w:val="00246F8E"/>
    <w:rsid w:val="0024703D"/>
    <w:rsid w:val="002470E5"/>
    <w:rsid w:val="00247FC5"/>
    <w:rsid w:val="002508EA"/>
    <w:rsid w:val="00251BF2"/>
    <w:rsid w:val="00251D7A"/>
    <w:rsid w:val="002525EB"/>
    <w:rsid w:val="00253C19"/>
    <w:rsid w:val="002545EE"/>
    <w:rsid w:val="002568AE"/>
    <w:rsid w:val="00257302"/>
    <w:rsid w:val="00260609"/>
    <w:rsid w:val="00260C9F"/>
    <w:rsid w:val="00261C10"/>
    <w:rsid w:val="00262E27"/>
    <w:rsid w:val="00262F4A"/>
    <w:rsid w:val="00263DDF"/>
    <w:rsid w:val="00263FD1"/>
    <w:rsid w:val="002646B0"/>
    <w:rsid w:val="00264D77"/>
    <w:rsid w:val="00265ED5"/>
    <w:rsid w:val="00266C8C"/>
    <w:rsid w:val="00267090"/>
    <w:rsid w:val="00267780"/>
    <w:rsid w:val="00267964"/>
    <w:rsid w:val="00270E9D"/>
    <w:rsid w:val="00271493"/>
    <w:rsid w:val="00271648"/>
    <w:rsid w:val="002717C1"/>
    <w:rsid w:val="00272451"/>
    <w:rsid w:val="002729F1"/>
    <w:rsid w:val="00272B9F"/>
    <w:rsid w:val="00272C54"/>
    <w:rsid w:val="00272D2F"/>
    <w:rsid w:val="00273BA4"/>
    <w:rsid w:val="00273CE0"/>
    <w:rsid w:val="0027487A"/>
    <w:rsid w:val="0027527E"/>
    <w:rsid w:val="0027590A"/>
    <w:rsid w:val="0027714F"/>
    <w:rsid w:val="00277242"/>
    <w:rsid w:val="00277B63"/>
    <w:rsid w:val="00277DA8"/>
    <w:rsid w:val="002801C9"/>
    <w:rsid w:val="0028162B"/>
    <w:rsid w:val="00281672"/>
    <w:rsid w:val="00282A69"/>
    <w:rsid w:val="00282F1A"/>
    <w:rsid w:val="00283AE5"/>
    <w:rsid w:val="00283B11"/>
    <w:rsid w:val="00283F81"/>
    <w:rsid w:val="002841A7"/>
    <w:rsid w:val="00284998"/>
    <w:rsid w:val="00284FB7"/>
    <w:rsid w:val="0028506F"/>
    <w:rsid w:val="0028563D"/>
    <w:rsid w:val="0028592D"/>
    <w:rsid w:val="00285ECC"/>
    <w:rsid w:val="002860B5"/>
    <w:rsid w:val="00286BD1"/>
    <w:rsid w:val="00286E16"/>
    <w:rsid w:val="002901F8"/>
    <w:rsid w:val="002920AF"/>
    <w:rsid w:val="002927E4"/>
    <w:rsid w:val="00293D30"/>
    <w:rsid w:val="00295074"/>
    <w:rsid w:val="00295981"/>
    <w:rsid w:val="002968FF"/>
    <w:rsid w:val="00296BBB"/>
    <w:rsid w:val="00297527"/>
    <w:rsid w:val="00297B4B"/>
    <w:rsid w:val="002A0965"/>
    <w:rsid w:val="002A1C35"/>
    <w:rsid w:val="002A22AF"/>
    <w:rsid w:val="002A2543"/>
    <w:rsid w:val="002A41CF"/>
    <w:rsid w:val="002A43AB"/>
    <w:rsid w:val="002A46D8"/>
    <w:rsid w:val="002A4D2A"/>
    <w:rsid w:val="002A4E3B"/>
    <w:rsid w:val="002A5C59"/>
    <w:rsid w:val="002A5C5E"/>
    <w:rsid w:val="002A5D97"/>
    <w:rsid w:val="002A6E33"/>
    <w:rsid w:val="002B01D8"/>
    <w:rsid w:val="002B0F1C"/>
    <w:rsid w:val="002B1950"/>
    <w:rsid w:val="002B2440"/>
    <w:rsid w:val="002B24B4"/>
    <w:rsid w:val="002B47C8"/>
    <w:rsid w:val="002B50FB"/>
    <w:rsid w:val="002B6ECC"/>
    <w:rsid w:val="002B7ADE"/>
    <w:rsid w:val="002C07FF"/>
    <w:rsid w:val="002C0ABE"/>
    <w:rsid w:val="002C0FB0"/>
    <w:rsid w:val="002C10E9"/>
    <w:rsid w:val="002C1132"/>
    <w:rsid w:val="002C119C"/>
    <w:rsid w:val="002C18CD"/>
    <w:rsid w:val="002C1B56"/>
    <w:rsid w:val="002C1E50"/>
    <w:rsid w:val="002C2E88"/>
    <w:rsid w:val="002C3319"/>
    <w:rsid w:val="002C4390"/>
    <w:rsid w:val="002C647A"/>
    <w:rsid w:val="002C6797"/>
    <w:rsid w:val="002C6879"/>
    <w:rsid w:val="002C7E2C"/>
    <w:rsid w:val="002C7E52"/>
    <w:rsid w:val="002D03FD"/>
    <w:rsid w:val="002D043E"/>
    <w:rsid w:val="002D09A9"/>
    <w:rsid w:val="002D0CBE"/>
    <w:rsid w:val="002D111D"/>
    <w:rsid w:val="002D15D3"/>
    <w:rsid w:val="002D1EFF"/>
    <w:rsid w:val="002D2B30"/>
    <w:rsid w:val="002D4BEE"/>
    <w:rsid w:val="002D5C80"/>
    <w:rsid w:val="002D5DE9"/>
    <w:rsid w:val="002D6AE7"/>
    <w:rsid w:val="002D72BF"/>
    <w:rsid w:val="002D72D8"/>
    <w:rsid w:val="002D77BA"/>
    <w:rsid w:val="002E1466"/>
    <w:rsid w:val="002E2432"/>
    <w:rsid w:val="002E24B7"/>
    <w:rsid w:val="002E3103"/>
    <w:rsid w:val="002E35B4"/>
    <w:rsid w:val="002E51B6"/>
    <w:rsid w:val="002E5796"/>
    <w:rsid w:val="002E5E7B"/>
    <w:rsid w:val="002E6286"/>
    <w:rsid w:val="002E6DA2"/>
    <w:rsid w:val="002E7EB3"/>
    <w:rsid w:val="002F06A4"/>
    <w:rsid w:val="002F180C"/>
    <w:rsid w:val="002F2399"/>
    <w:rsid w:val="002F26DE"/>
    <w:rsid w:val="002F318C"/>
    <w:rsid w:val="002F40DA"/>
    <w:rsid w:val="002F4297"/>
    <w:rsid w:val="002F4951"/>
    <w:rsid w:val="002F49E2"/>
    <w:rsid w:val="002F51EB"/>
    <w:rsid w:val="002F5630"/>
    <w:rsid w:val="002F5C12"/>
    <w:rsid w:val="002F6505"/>
    <w:rsid w:val="003000EF"/>
    <w:rsid w:val="0030082D"/>
    <w:rsid w:val="00300D36"/>
    <w:rsid w:val="00300ED3"/>
    <w:rsid w:val="0030169F"/>
    <w:rsid w:val="00301F06"/>
    <w:rsid w:val="00302AB0"/>
    <w:rsid w:val="00304762"/>
    <w:rsid w:val="003064CD"/>
    <w:rsid w:val="003068B8"/>
    <w:rsid w:val="00307301"/>
    <w:rsid w:val="00310416"/>
    <w:rsid w:val="00310D79"/>
    <w:rsid w:val="00311B1A"/>
    <w:rsid w:val="003121A1"/>
    <w:rsid w:val="003127FB"/>
    <w:rsid w:val="003137A3"/>
    <w:rsid w:val="00313BB0"/>
    <w:rsid w:val="00314B8F"/>
    <w:rsid w:val="0031541A"/>
    <w:rsid w:val="00315A2C"/>
    <w:rsid w:val="00315B22"/>
    <w:rsid w:val="00316C5F"/>
    <w:rsid w:val="0031700B"/>
    <w:rsid w:val="00317064"/>
    <w:rsid w:val="00320206"/>
    <w:rsid w:val="00320C01"/>
    <w:rsid w:val="00320FBF"/>
    <w:rsid w:val="00322078"/>
    <w:rsid w:val="003224AB"/>
    <w:rsid w:val="003239A0"/>
    <w:rsid w:val="00324A6A"/>
    <w:rsid w:val="0032531C"/>
    <w:rsid w:val="00325A34"/>
    <w:rsid w:val="003260DF"/>
    <w:rsid w:val="0032612D"/>
    <w:rsid w:val="003267CA"/>
    <w:rsid w:val="00327EEA"/>
    <w:rsid w:val="00330FAB"/>
    <w:rsid w:val="00333F2B"/>
    <w:rsid w:val="00335102"/>
    <w:rsid w:val="00335697"/>
    <w:rsid w:val="00335EF2"/>
    <w:rsid w:val="00340E0B"/>
    <w:rsid w:val="00340FA3"/>
    <w:rsid w:val="003410A3"/>
    <w:rsid w:val="00341800"/>
    <w:rsid w:val="00341BDC"/>
    <w:rsid w:val="00342104"/>
    <w:rsid w:val="00343C61"/>
    <w:rsid w:val="0034469A"/>
    <w:rsid w:val="00345135"/>
    <w:rsid w:val="00345FFE"/>
    <w:rsid w:val="00346BCE"/>
    <w:rsid w:val="00346CB5"/>
    <w:rsid w:val="00347691"/>
    <w:rsid w:val="00347D84"/>
    <w:rsid w:val="00347DDD"/>
    <w:rsid w:val="003515BD"/>
    <w:rsid w:val="0035222F"/>
    <w:rsid w:val="00352C47"/>
    <w:rsid w:val="003531B8"/>
    <w:rsid w:val="00353C9F"/>
    <w:rsid w:val="0035410C"/>
    <w:rsid w:val="00354FE7"/>
    <w:rsid w:val="003559F5"/>
    <w:rsid w:val="00355EF9"/>
    <w:rsid w:val="00356A7D"/>
    <w:rsid w:val="00357F58"/>
    <w:rsid w:val="00360C84"/>
    <w:rsid w:val="00360FB1"/>
    <w:rsid w:val="003614D1"/>
    <w:rsid w:val="003615E2"/>
    <w:rsid w:val="003629F9"/>
    <w:rsid w:val="00362DF2"/>
    <w:rsid w:val="0036332D"/>
    <w:rsid w:val="00363D9B"/>
    <w:rsid w:val="00363E11"/>
    <w:rsid w:val="00364796"/>
    <w:rsid w:val="00364D47"/>
    <w:rsid w:val="0036570C"/>
    <w:rsid w:val="003662BE"/>
    <w:rsid w:val="003667B1"/>
    <w:rsid w:val="00366830"/>
    <w:rsid w:val="00366D74"/>
    <w:rsid w:val="0036772E"/>
    <w:rsid w:val="00370317"/>
    <w:rsid w:val="0037032E"/>
    <w:rsid w:val="00370E00"/>
    <w:rsid w:val="00371C2E"/>
    <w:rsid w:val="00372C55"/>
    <w:rsid w:val="00372D1C"/>
    <w:rsid w:val="00374277"/>
    <w:rsid w:val="003746A7"/>
    <w:rsid w:val="00375FD8"/>
    <w:rsid w:val="0037681C"/>
    <w:rsid w:val="00376ABA"/>
    <w:rsid w:val="00377222"/>
    <w:rsid w:val="0037746E"/>
    <w:rsid w:val="0038090E"/>
    <w:rsid w:val="00381477"/>
    <w:rsid w:val="00381E4B"/>
    <w:rsid w:val="0038207F"/>
    <w:rsid w:val="003824F9"/>
    <w:rsid w:val="003825AC"/>
    <w:rsid w:val="00382CC7"/>
    <w:rsid w:val="00383F68"/>
    <w:rsid w:val="0038505A"/>
    <w:rsid w:val="00385AA0"/>
    <w:rsid w:val="00385D29"/>
    <w:rsid w:val="0038623F"/>
    <w:rsid w:val="003866F7"/>
    <w:rsid w:val="00387373"/>
    <w:rsid w:val="00387FF7"/>
    <w:rsid w:val="003904AC"/>
    <w:rsid w:val="00390547"/>
    <w:rsid w:val="00390B47"/>
    <w:rsid w:val="003914FF"/>
    <w:rsid w:val="003916A9"/>
    <w:rsid w:val="003922C4"/>
    <w:rsid w:val="003925D7"/>
    <w:rsid w:val="003943B1"/>
    <w:rsid w:val="00394566"/>
    <w:rsid w:val="00394A90"/>
    <w:rsid w:val="003956A2"/>
    <w:rsid w:val="003959DE"/>
    <w:rsid w:val="00395D85"/>
    <w:rsid w:val="0039659A"/>
    <w:rsid w:val="0039688C"/>
    <w:rsid w:val="00396EEF"/>
    <w:rsid w:val="00397C49"/>
    <w:rsid w:val="003A0D84"/>
    <w:rsid w:val="003A1856"/>
    <w:rsid w:val="003A23B8"/>
    <w:rsid w:val="003A29F8"/>
    <w:rsid w:val="003A3269"/>
    <w:rsid w:val="003A3E65"/>
    <w:rsid w:val="003A52ED"/>
    <w:rsid w:val="003A554A"/>
    <w:rsid w:val="003A6508"/>
    <w:rsid w:val="003A6FD2"/>
    <w:rsid w:val="003A7933"/>
    <w:rsid w:val="003B16A0"/>
    <w:rsid w:val="003B2FA6"/>
    <w:rsid w:val="003B43F5"/>
    <w:rsid w:val="003B4477"/>
    <w:rsid w:val="003B4B78"/>
    <w:rsid w:val="003B5369"/>
    <w:rsid w:val="003B6380"/>
    <w:rsid w:val="003B78C7"/>
    <w:rsid w:val="003B7F25"/>
    <w:rsid w:val="003C0A99"/>
    <w:rsid w:val="003C0C01"/>
    <w:rsid w:val="003C11CB"/>
    <w:rsid w:val="003C1C1B"/>
    <w:rsid w:val="003C1C77"/>
    <w:rsid w:val="003C4050"/>
    <w:rsid w:val="003C44BA"/>
    <w:rsid w:val="003C4571"/>
    <w:rsid w:val="003C4F4C"/>
    <w:rsid w:val="003D07E0"/>
    <w:rsid w:val="003D11D0"/>
    <w:rsid w:val="003D11FF"/>
    <w:rsid w:val="003D1A92"/>
    <w:rsid w:val="003D345B"/>
    <w:rsid w:val="003D3793"/>
    <w:rsid w:val="003D41AD"/>
    <w:rsid w:val="003D497E"/>
    <w:rsid w:val="003D4AF1"/>
    <w:rsid w:val="003D4DF9"/>
    <w:rsid w:val="003D4E67"/>
    <w:rsid w:val="003D580F"/>
    <w:rsid w:val="003D58D0"/>
    <w:rsid w:val="003D6B92"/>
    <w:rsid w:val="003D7CF8"/>
    <w:rsid w:val="003E0215"/>
    <w:rsid w:val="003E14D3"/>
    <w:rsid w:val="003E1CDE"/>
    <w:rsid w:val="003E2828"/>
    <w:rsid w:val="003E2B99"/>
    <w:rsid w:val="003E3CD8"/>
    <w:rsid w:val="003E3FDB"/>
    <w:rsid w:val="003E4189"/>
    <w:rsid w:val="003E4628"/>
    <w:rsid w:val="003E5AE9"/>
    <w:rsid w:val="003E76D0"/>
    <w:rsid w:val="003E78B4"/>
    <w:rsid w:val="003E7DB8"/>
    <w:rsid w:val="003F0B44"/>
    <w:rsid w:val="003F0BC0"/>
    <w:rsid w:val="003F27CB"/>
    <w:rsid w:val="003F2EEA"/>
    <w:rsid w:val="003F2F40"/>
    <w:rsid w:val="003F4089"/>
    <w:rsid w:val="003F4112"/>
    <w:rsid w:val="003F435F"/>
    <w:rsid w:val="003F53F2"/>
    <w:rsid w:val="003F55D2"/>
    <w:rsid w:val="003F5E45"/>
    <w:rsid w:val="003F5EDB"/>
    <w:rsid w:val="003F6EF2"/>
    <w:rsid w:val="003F72FF"/>
    <w:rsid w:val="00400343"/>
    <w:rsid w:val="004005D6"/>
    <w:rsid w:val="00401A70"/>
    <w:rsid w:val="00402658"/>
    <w:rsid w:val="0040388D"/>
    <w:rsid w:val="00403B99"/>
    <w:rsid w:val="00404375"/>
    <w:rsid w:val="00405B7E"/>
    <w:rsid w:val="004061B9"/>
    <w:rsid w:val="00410485"/>
    <w:rsid w:val="00410517"/>
    <w:rsid w:val="004105C1"/>
    <w:rsid w:val="004113FF"/>
    <w:rsid w:val="0041199F"/>
    <w:rsid w:val="00411D2C"/>
    <w:rsid w:val="004124FC"/>
    <w:rsid w:val="00412B56"/>
    <w:rsid w:val="00412C69"/>
    <w:rsid w:val="004135F3"/>
    <w:rsid w:val="00414182"/>
    <w:rsid w:val="0041541E"/>
    <w:rsid w:val="004164D0"/>
    <w:rsid w:val="00417588"/>
    <w:rsid w:val="00420DA7"/>
    <w:rsid w:val="00420E2E"/>
    <w:rsid w:val="004222E3"/>
    <w:rsid w:val="00422B58"/>
    <w:rsid w:val="00422B7A"/>
    <w:rsid w:val="00423042"/>
    <w:rsid w:val="00423CA7"/>
    <w:rsid w:val="00423CAF"/>
    <w:rsid w:val="00423D61"/>
    <w:rsid w:val="00424775"/>
    <w:rsid w:val="00424E3C"/>
    <w:rsid w:val="00426446"/>
    <w:rsid w:val="0042663E"/>
    <w:rsid w:val="00426B75"/>
    <w:rsid w:val="0042785E"/>
    <w:rsid w:val="00427A58"/>
    <w:rsid w:val="00431AB8"/>
    <w:rsid w:val="0043230A"/>
    <w:rsid w:val="0043242A"/>
    <w:rsid w:val="00434125"/>
    <w:rsid w:val="004342F3"/>
    <w:rsid w:val="004354C2"/>
    <w:rsid w:val="0043607D"/>
    <w:rsid w:val="004363C8"/>
    <w:rsid w:val="00436B95"/>
    <w:rsid w:val="00436BEC"/>
    <w:rsid w:val="00437183"/>
    <w:rsid w:val="004377D1"/>
    <w:rsid w:val="00437E5B"/>
    <w:rsid w:val="00440BCC"/>
    <w:rsid w:val="00441C44"/>
    <w:rsid w:val="004423B7"/>
    <w:rsid w:val="0044467A"/>
    <w:rsid w:val="0044480C"/>
    <w:rsid w:val="004453EA"/>
    <w:rsid w:val="00445983"/>
    <w:rsid w:val="00446696"/>
    <w:rsid w:val="00446EA7"/>
    <w:rsid w:val="00446F48"/>
    <w:rsid w:val="00447244"/>
    <w:rsid w:val="00447264"/>
    <w:rsid w:val="00447779"/>
    <w:rsid w:val="00450D91"/>
    <w:rsid w:val="00450F4F"/>
    <w:rsid w:val="00452CB8"/>
    <w:rsid w:val="00452D61"/>
    <w:rsid w:val="00453DD1"/>
    <w:rsid w:val="00453FA4"/>
    <w:rsid w:val="004540B7"/>
    <w:rsid w:val="0045426A"/>
    <w:rsid w:val="004543D6"/>
    <w:rsid w:val="00454942"/>
    <w:rsid w:val="00454A13"/>
    <w:rsid w:val="00454D62"/>
    <w:rsid w:val="004554CD"/>
    <w:rsid w:val="00455DAC"/>
    <w:rsid w:val="00455F3C"/>
    <w:rsid w:val="0045600E"/>
    <w:rsid w:val="00456A35"/>
    <w:rsid w:val="004571F1"/>
    <w:rsid w:val="00460384"/>
    <w:rsid w:val="0046096D"/>
    <w:rsid w:val="0046118D"/>
    <w:rsid w:val="0046135B"/>
    <w:rsid w:val="00462658"/>
    <w:rsid w:val="004628AE"/>
    <w:rsid w:val="00462CBD"/>
    <w:rsid w:val="00462CF9"/>
    <w:rsid w:val="004630B0"/>
    <w:rsid w:val="00463652"/>
    <w:rsid w:val="0046417B"/>
    <w:rsid w:val="004644CF"/>
    <w:rsid w:val="00464EEB"/>
    <w:rsid w:val="004666E4"/>
    <w:rsid w:val="0046673D"/>
    <w:rsid w:val="00466759"/>
    <w:rsid w:val="00466D2D"/>
    <w:rsid w:val="00466EF5"/>
    <w:rsid w:val="0046726F"/>
    <w:rsid w:val="00467CA2"/>
    <w:rsid w:val="0047025D"/>
    <w:rsid w:val="00470360"/>
    <w:rsid w:val="00471B55"/>
    <w:rsid w:val="00471FC3"/>
    <w:rsid w:val="00472D89"/>
    <w:rsid w:val="00472E4C"/>
    <w:rsid w:val="00472F8A"/>
    <w:rsid w:val="0047337F"/>
    <w:rsid w:val="00473939"/>
    <w:rsid w:val="004740C5"/>
    <w:rsid w:val="004751EB"/>
    <w:rsid w:val="00475962"/>
    <w:rsid w:val="00476293"/>
    <w:rsid w:val="0047671D"/>
    <w:rsid w:val="004773E0"/>
    <w:rsid w:val="00477D93"/>
    <w:rsid w:val="00480842"/>
    <w:rsid w:val="004822B4"/>
    <w:rsid w:val="00482727"/>
    <w:rsid w:val="00482AEF"/>
    <w:rsid w:val="00482BC2"/>
    <w:rsid w:val="0048346E"/>
    <w:rsid w:val="004853C6"/>
    <w:rsid w:val="004862D6"/>
    <w:rsid w:val="00486451"/>
    <w:rsid w:val="00486787"/>
    <w:rsid w:val="00490187"/>
    <w:rsid w:val="00490E28"/>
    <w:rsid w:val="00491C79"/>
    <w:rsid w:val="00492136"/>
    <w:rsid w:val="00492233"/>
    <w:rsid w:val="0049293F"/>
    <w:rsid w:val="00492B4C"/>
    <w:rsid w:val="004934AD"/>
    <w:rsid w:val="004939FC"/>
    <w:rsid w:val="00493BED"/>
    <w:rsid w:val="00494110"/>
    <w:rsid w:val="004948C3"/>
    <w:rsid w:val="00494A0F"/>
    <w:rsid w:val="004951DB"/>
    <w:rsid w:val="0049553A"/>
    <w:rsid w:val="00496AF3"/>
    <w:rsid w:val="00497400"/>
    <w:rsid w:val="0049759F"/>
    <w:rsid w:val="00497E1C"/>
    <w:rsid w:val="004A084A"/>
    <w:rsid w:val="004A123E"/>
    <w:rsid w:val="004A19BD"/>
    <w:rsid w:val="004A1D50"/>
    <w:rsid w:val="004A2D6C"/>
    <w:rsid w:val="004A33B3"/>
    <w:rsid w:val="004A3A22"/>
    <w:rsid w:val="004A6DA5"/>
    <w:rsid w:val="004A737B"/>
    <w:rsid w:val="004A7A81"/>
    <w:rsid w:val="004B0851"/>
    <w:rsid w:val="004B1D33"/>
    <w:rsid w:val="004B205F"/>
    <w:rsid w:val="004B27FF"/>
    <w:rsid w:val="004B2E3C"/>
    <w:rsid w:val="004B4061"/>
    <w:rsid w:val="004B5198"/>
    <w:rsid w:val="004B534D"/>
    <w:rsid w:val="004B5F06"/>
    <w:rsid w:val="004B7A4C"/>
    <w:rsid w:val="004B7AAB"/>
    <w:rsid w:val="004C0272"/>
    <w:rsid w:val="004C0376"/>
    <w:rsid w:val="004C1166"/>
    <w:rsid w:val="004C2E45"/>
    <w:rsid w:val="004C33AF"/>
    <w:rsid w:val="004C4812"/>
    <w:rsid w:val="004C5D9B"/>
    <w:rsid w:val="004C623D"/>
    <w:rsid w:val="004C6500"/>
    <w:rsid w:val="004C6CD1"/>
    <w:rsid w:val="004C6DBF"/>
    <w:rsid w:val="004C7297"/>
    <w:rsid w:val="004C79E7"/>
    <w:rsid w:val="004D0A36"/>
    <w:rsid w:val="004D2201"/>
    <w:rsid w:val="004D240C"/>
    <w:rsid w:val="004D3383"/>
    <w:rsid w:val="004D3424"/>
    <w:rsid w:val="004D3447"/>
    <w:rsid w:val="004D5756"/>
    <w:rsid w:val="004D60E6"/>
    <w:rsid w:val="004D63DF"/>
    <w:rsid w:val="004D6C83"/>
    <w:rsid w:val="004E0F53"/>
    <w:rsid w:val="004E1E4E"/>
    <w:rsid w:val="004E27E7"/>
    <w:rsid w:val="004E2906"/>
    <w:rsid w:val="004E2C8F"/>
    <w:rsid w:val="004E2D71"/>
    <w:rsid w:val="004E331F"/>
    <w:rsid w:val="004E3695"/>
    <w:rsid w:val="004E36CB"/>
    <w:rsid w:val="004E488D"/>
    <w:rsid w:val="004E51A7"/>
    <w:rsid w:val="004E5B35"/>
    <w:rsid w:val="004E62F5"/>
    <w:rsid w:val="004F0392"/>
    <w:rsid w:val="004F184D"/>
    <w:rsid w:val="004F2283"/>
    <w:rsid w:val="004F2514"/>
    <w:rsid w:val="004F49AC"/>
    <w:rsid w:val="004F764C"/>
    <w:rsid w:val="004F7D59"/>
    <w:rsid w:val="005019CC"/>
    <w:rsid w:val="005020C4"/>
    <w:rsid w:val="00502933"/>
    <w:rsid w:val="00503974"/>
    <w:rsid w:val="00503A08"/>
    <w:rsid w:val="00504672"/>
    <w:rsid w:val="00505041"/>
    <w:rsid w:val="00505A5A"/>
    <w:rsid w:val="00510386"/>
    <w:rsid w:val="00511F20"/>
    <w:rsid w:val="00512E7B"/>
    <w:rsid w:val="005138F5"/>
    <w:rsid w:val="005140AE"/>
    <w:rsid w:val="00514544"/>
    <w:rsid w:val="00514C2B"/>
    <w:rsid w:val="0051524F"/>
    <w:rsid w:val="00515300"/>
    <w:rsid w:val="005204ED"/>
    <w:rsid w:val="00520F71"/>
    <w:rsid w:val="00521312"/>
    <w:rsid w:val="005218E7"/>
    <w:rsid w:val="005219F7"/>
    <w:rsid w:val="00521B55"/>
    <w:rsid w:val="00521E4A"/>
    <w:rsid w:val="0052285E"/>
    <w:rsid w:val="005239C1"/>
    <w:rsid w:val="005252AB"/>
    <w:rsid w:val="00526152"/>
    <w:rsid w:val="00526237"/>
    <w:rsid w:val="005269AA"/>
    <w:rsid w:val="00527CA2"/>
    <w:rsid w:val="0053014F"/>
    <w:rsid w:val="005315F8"/>
    <w:rsid w:val="00532418"/>
    <w:rsid w:val="00532B0D"/>
    <w:rsid w:val="00533469"/>
    <w:rsid w:val="0053397A"/>
    <w:rsid w:val="00534B1A"/>
    <w:rsid w:val="00534DE0"/>
    <w:rsid w:val="0053563E"/>
    <w:rsid w:val="0053617F"/>
    <w:rsid w:val="005362C9"/>
    <w:rsid w:val="005364E4"/>
    <w:rsid w:val="0053689F"/>
    <w:rsid w:val="00536A57"/>
    <w:rsid w:val="00536DE1"/>
    <w:rsid w:val="005376F3"/>
    <w:rsid w:val="00537793"/>
    <w:rsid w:val="005407CF"/>
    <w:rsid w:val="005417DE"/>
    <w:rsid w:val="00541DFF"/>
    <w:rsid w:val="00542535"/>
    <w:rsid w:val="00544865"/>
    <w:rsid w:val="00544C76"/>
    <w:rsid w:val="0054540B"/>
    <w:rsid w:val="00545898"/>
    <w:rsid w:val="005460A1"/>
    <w:rsid w:val="00546311"/>
    <w:rsid w:val="0054671B"/>
    <w:rsid w:val="0054699F"/>
    <w:rsid w:val="00546E04"/>
    <w:rsid w:val="00547BEC"/>
    <w:rsid w:val="005507A2"/>
    <w:rsid w:val="0055089F"/>
    <w:rsid w:val="00550BF4"/>
    <w:rsid w:val="00552002"/>
    <w:rsid w:val="00553826"/>
    <w:rsid w:val="00554324"/>
    <w:rsid w:val="0055479D"/>
    <w:rsid w:val="00554C97"/>
    <w:rsid w:val="005557BF"/>
    <w:rsid w:val="005557EB"/>
    <w:rsid w:val="00556E79"/>
    <w:rsid w:val="00557356"/>
    <w:rsid w:val="00557794"/>
    <w:rsid w:val="00557856"/>
    <w:rsid w:val="00557976"/>
    <w:rsid w:val="005605F3"/>
    <w:rsid w:val="005608E6"/>
    <w:rsid w:val="005610B2"/>
    <w:rsid w:val="0056120E"/>
    <w:rsid w:val="00561342"/>
    <w:rsid w:val="005642B2"/>
    <w:rsid w:val="0056483B"/>
    <w:rsid w:val="005651C4"/>
    <w:rsid w:val="00565525"/>
    <w:rsid w:val="00565767"/>
    <w:rsid w:val="005661CA"/>
    <w:rsid w:val="005666EB"/>
    <w:rsid w:val="0056678C"/>
    <w:rsid w:val="00566A07"/>
    <w:rsid w:val="0056773C"/>
    <w:rsid w:val="00570B72"/>
    <w:rsid w:val="005710A1"/>
    <w:rsid w:val="005720A6"/>
    <w:rsid w:val="00572C55"/>
    <w:rsid w:val="005740FD"/>
    <w:rsid w:val="00574119"/>
    <w:rsid w:val="0057635E"/>
    <w:rsid w:val="005765B1"/>
    <w:rsid w:val="00576CDB"/>
    <w:rsid w:val="0057702B"/>
    <w:rsid w:val="0057762F"/>
    <w:rsid w:val="00577883"/>
    <w:rsid w:val="00580C8E"/>
    <w:rsid w:val="00581B77"/>
    <w:rsid w:val="005823F3"/>
    <w:rsid w:val="00582A4C"/>
    <w:rsid w:val="00582F69"/>
    <w:rsid w:val="005839D8"/>
    <w:rsid w:val="005844C1"/>
    <w:rsid w:val="005850A5"/>
    <w:rsid w:val="005857B6"/>
    <w:rsid w:val="00585FD2"/>
    <w:rsid w:val="00586235"/>
    <w:rsid w:val="00587658"/>
    <w:rsid w:val="00587776"/>
    <w:rsid w:val="00587AA6"/>
    <w:rsid w:val="00591661"/>
    <w:rsid w:val="005917F0"/>
    <w:rsid w:val="00591F1B"/>
    <w:rsid w:val="00591FD0"/>
    <w:rsid w:val="00593C93"/>
    <w:rsid w:val="00594C6F"/>
    <w:rsid w:val="00594F40"/>
    <w:rsid w:val="00595300"/>
    <w:rsid w:val="00595743"/>
    <w:rsid w:val="00595B9B"/>
    <w:rsid w:val="00595E95"/>
    <w:rsid w:val="0059662C"/>
    <w:rsid w:val="00596A5B"/>
    <w:rsid w:val="0059717E"/>
    <w:rsid w:val="005A067E"/>
    <w:rsid w:val="005A09F4"/>
    <w:rsid w:val="005A277E"/>
    <w:rsid w:val="005A35CA"/>
    <w:rsid w:val="005A3989"/>
    <w:rsid w:val="005A41D7"/>
    <w:rsid w:val="005A45F1"/>
    <w:rsid w:val="005A489A"/>
    <w:rsid w:val="005A5C35"/>
    <w:rsid w:val="005A637E"/>
    <w:rsid w:val="005A6DC4"/>
    <w:rsid w:val="005A7171"/>
    <w:rsid w:val="005A726B"/>
    <w:rsid w:val="005A7DA4"/>
    <w:rsid w:val="005B07F7"/>
    <w:rsid w:val="005B099D"/>
    <w:rsid w:val="005B1106"/>
    <w:rsid w:val="005B185E"/>
    <w:rsid w:val="005B1DA5"/>
    <w:rsid w:val="005B234B"/>
    <w:rsid w:val="005B2B56"/>
    <w:rsid w:val="005B31B4"/>
    <w:rsid w:val="005B33B4"/>
    <w:rsid w:val="005B346D"/>
    <w:rsid w:val="005B4CCE"/>
    <w:rsid w:val="005B5314"/>
    <w:rsid w:val="005B6381"/>
    <w:rsid w:val="005B63D4"/>
    <w:rsid w:val="005B7FDD"/>
    <w:rsid w:val="005C086B"/>
    <w:rsid w:val="005C19C5"/>
    <w:rsid w:val="005C2D92"/>
    <w:rsid w:val="005C4215"/>
    <w:rsid w:val="005C45DC"/>
    <w:rsid w:val="005C48C7"/>
    <w:rsid w:val="005C5818"/>
    <w:rsid w:val="005C5FBB"/>
    <w:rsid w:val="005C6442"/>
    <w:rsid w:val="005D053E"/>
    <w:rsid w:val="005D1829"/>
    <w:rsid w:val="005D235C"/>
    <w:rsid w:val="005D2972"/>
    <w:rsid w:val="005D37DB"/>
    <w:rsid w:val="005D4187"/>
    <w:rsid w:val="005D423F"/>
    <w:rsid w:val="005D4358"/>
    <w:rsid w:val="005D5E75"/>
    <w:rsid w:val="005D64AA"/>
    <w:rsid w:val="005D6E71"/>
    <w:rsid w:val="005D763D"/>
    <w:rsid w:val="005D77BE"/>
    <w:rsid w:val="005E0612"/>
    <w:rsid w:val="005E0EA7"/>
    <w:rsid w:val="005E26D2"/>
    <w:rsid w:val="005E304A"/>
    <w:rsid w:val="005E30CF"/>
    <w:rsid w:val="005E3203"/>
    <w:rsid w:val="005E3374"/>
    <w:rsid w:val="005E33CF"/>
    <w:rsid w:val="005E4265"/>
    <w:rsid w:val="005E512E"/>
    <w:rsid w:val="005E580C"/>
    <w:rsid w:val="005E58C3"/>
    <w:rsid w:val="005E7108"/>
    <w:rsid w:val="005E7C08"/>
    <w:rsid w:val="005F010F"/>
    <w:rsid w:val="005F02AC"/>
    <w:rsid w:val="005F1600"/>
    <w:rsid w:val="005F2B85"/>
    <w:rsid w:val="005F3AE4"/>
    <w:rsid w:val="005F4027"/>
    <w:rsid w:val="005F4FD7"/>
    <w:rsid w:val="005F50CC"/>
    <w:rsid w:val="005F5846"/>
    <w:rsid w:val="005F5B84"/>
    <w:rsid w:val="005F5C65"/>
    <w:rsid w:val="005F5CE1"/>
    <w:rsid w:val="005F68A6"/>
    <w:rsid w:val="005F6986"/>
    <w:rsid w:val="005F71C2"/>
    <w:rsid w:val="005F75AA"/>
    <w:rsid w:val="005F7928"/>
    <w:rsid w:val="005F7B61"/>
    <w:rsid w:val="005F7D00"/>
    <w:rsid w:val="006007FF"/>
    <w:rsid w:val="0060093F"/>
    <w:rsid w:val="00600A63"/>
    <w:rsid w:val="00600FE3"/>
    <w:rsid w:val="00601372"/>
    <w:rsid w:val="00601892"/>
    <w:rsid w:val="00603133"/>
    <w:rsid w:val="00604CC4"/>
    <w:rsid w:val="00604FCC"/>
    <w:rsid w:val="00605AAC"/>
    <w:rsid w:val="00606978"/>
    <w:rsid w:val="00606AFF"/>
    <w:rsid w:val="006074E0"/>
    <w:rsid w:val="006101A3"/>
    <w:rsid w:val="00611230"/>
    <w:rsid w:val="0061138E"/>
    <w:rsid w:val="006114F1"/>
    <w:rsid w:val="00611FB2"/>
    <w:rsid w:val="00613D54"/>
    <w:rsid w:val="00613E88"/>
    <w:rsid w:val="00614377"/>
    <w:rsid w:val="00617107"/>
    <w:rsid w:val="0061724B"/>
    <w:rsid w:val="00617922"/>
    <w:rsid w:val="00621C17"/>
    <w:rsid w:val="00622004"/>
    <w:rsid w:val="0062206F"/>
    <w:rsid w:val="006225AE"/>
    <w:rsid w:val="00622EE8"/>
    <w:rsid w:val="0062391D"/>
    <w:rsid w:val="00623A09"/>
    <w:rsid w:val="00623C8A"/>
    <w:rsid w:val="00623F8E"/>
    <w:rsid w:val="00624D75"/>
    <w:rsid w:val="006251D8"/>
    <w:rsid w:val="00625AFA"/>
    <w:rsid w:val="00625D43"/>
    <w:rsid w:val="00625F98"/>
    <w:rsid w:val="006260CB"/>
    <w:rsid w:val="00627493"/>
    <w:rsid w:val="00627617"/>
    <w:rsid w:val="0062786C"/>
    <w:rsid w:val="006308F8"/>
    <w:rsid w:val="00630B52"/>
    <w:rsid w:val="00631647"/>
    <w:rsid w:val="00632655"/>
    <w:rsid w:val="006332B9"/>
    <w:rsid w:val="00635059"/>
    <w:rsid w:val="00635BD8"/>
    <w:rsid w:val="00635EB5"/>
    <w:rsid w:val="00636B1C"/>
    <w:rsid w:val="00636C44"/>
    <w:rsid w:val="00636FA6"/>
    <w:rsid w:val="006372F6"/>
    <w:rsid w:val="006409D8"/>
    <w:rsid w:val="00640B84"/>
    <w:rsid w:val="006410A7"/>
    <w:rsid w:val="0064126D"/>
    <w:rsid w:val="00641D36"/>
    <w:rsid w:val="00642F21"/>
    <w:rsid w:val="00643ACB"/>
    <w:rsid w:val="00644C79"/>
    <w:rsid w:val="00644FB0"/>
    <w:rsid w:val="006465B3"/>
    <w:rsid w:val="00646CCA"/>
    <w:rsid w:val="0064708A"/>
    <w:rsid w:val="00647437"/>
    <w:rsid w:val="006474B4"/>
    <w:rsid w:val="00650449"/>
    <w:rsid w:val="00650660"/>
    <w:rsid w:val="00650DD8"/>
    <w:rsid w:val="00651DAD"/>
    <w:rsid w:val="00652C81"/>
    <w:rsid w:val="00652F6A"/>
    <w:rsid w:val="00652F9F"/>
    <w:rsid w:val="00655E26"/>
    <w:rsid w:val="0065600E"/>
    <w:rsid w:val="0065672D"/>
    <w:rsid w:val="00656E3C"/>
    <w:rsid w:val="00660687"/>
    <w:rsid w:val="006606C7"/>
    <w:rsid w:val="00661207"/>
    <w:rsid w:val="006614A8"/>
    <w:rsid w:val="006618E8"/>
    <w:rsid w:val="00661946"/>
    <w:rsid w:val="00661958"/>
    <w:rsid w:val="00662C5B"/>
    <w:rsid w:val="006630C9"/>
    <w:rsid w:val="00663409"/>
    <w:rsid w:val="00663791"/>
    <w:rsid w:val="00663FB0"/>
    <w:rsid w:val="006640B0"/>
    <w:rsid w:val="00664C4B"/>
    <w:rsid w:val="0066536E"/>
    <w:rsid w:val="00666484"/>
    <w:rsid w:val="00666611"/>
    <w:rsid w:val="006668BD"/>
    <w:rsid w:val="00666B58"/>
    <w:rsid w:val="0066751D"/>
    <w:rsid w:val="00667CDC"/>
    <w:rsid w:val="00670B8D"/>
    <w:rsid w:val="006710F0"/>
    <w:rsid w:val="0067118F"/>
    <w:rsid w:val="0067121E"/>
    <w:rsid w:val="0067173E"/>
    <w:rsid w:val="0067182C"/>
    <w:rsid w:val="00671857"/>
    <w:rsid w:val="00671E63"/>
    <w:rsid w:val="006721FC"/>
    <w:rsid w:val="0067268F"/>
    <w:rsid w:val="00672EB8"/>
    <w:rsid w:val="00672EE9"/>
    <w:rsid w:val="00673114"/>
    <w:rsid w:val="00673512"/>
    <w:rsid w:val="00673576"/>
    <w:rsid w:val="006736F2"/>
    <w:rsid w:val="00673BF4"/>
    <w:rsid w:val="00675204"/>
    <w:rsid w:val="0067573D"/>
    <w:rsid w:val="006761BC"/>
    <w:rsid w:val="00676CA3"/>
    <w:rsid w:val="00676F2A"/>
    <w:rsid w:val="00680CB8"/>
    <w:rsid w:val="006837A1"/>
    <w:rsid w:val="006846A5"/>
    <w:rsid w:val="006847A4"/>
    <w:rsid w:val="0068499A"/>
    <w:rsid w:val="006856F2"/>
    <w:rsid w:val="00685B67"/>
    <w:rsid w:val="00685B7E"/>
    <w:rsid w:val="00686707"/>
    <w:rsid w:val="00686D5E"/>
    <w:rsid w:val="00687B0A"/>
    <w:rsid w:val="0069030C"/>
    <w:rsid w:val="00690494"/>
    <w:rsid w:val="00690CFF"/>
    <w:rsid w:val="00691046"/>
    <w:rsid w:val="0069128D"/>
    <w:rsid w:val="00691F35"/>
    <w:rsid w:val="0069229F"/>
    <w:rsid w:val="00692309"/>
    <w:rsid w:val="00693E69"/>
    <w:rsid w:val="006949AE"/>
    <w:rsid w:val="006953A7"/>
    <w:rsid w:val="006957B0"/>
    <w:rsid w:val="00697534"/>
    <w:rsid w:val="00697749"/>
    <w:rsid w:val="006A15A0"/>
    <w:rsid w:val="006A1DDF"/>
    <w:rsid w:val="006A2405"/>
    <w:rsid w:val="006A2416"/>
    <w:rsid w:val="006A2BF1"/>
    <w:rsid w:val="006A3398"/>
    <w:rsid w:val="006A39CD"/>
    <w:rsid w:val="006A3E36"/>
    <w:rsid w:val="006A4290"/>
    <w:rsid w:val="006A4785"/>
    <w:rsid w:val="006A48A6"/>
    <w:rsid w:val="006A4ABF"/>
    <w:rsid w:val="006A4D18"/>
    <w:rsid w:val="006A5053"/>
    <w:rsid w:val="006A5955"/>
    <w:rsid w:val="006A619D"/>
    <w:rsid w:val="006A631A"/>
    <w:rsid w:val="006A6518"/>
    <w:rsid w:val="006A6645"/>
    <w:rsid w:val="006A67D1"/>
    <w:rsid w:val="006A6801"/>
    <w:rsid w:val="006A6826"/>
    <w:rsid w:val="006A6A77"/>
    <w:rsid w:val="006A7336"/>
    <w:rsid w:val="006A7442"/>
    <w:rsid w:val="006A7997"/>
    <w:rsid w:val="006B0726"/>
    <w:rsid w:val="006B0A26"/>
    <w:rsid w:val="006B0F59"/>
    <w:rsid w:val="006B1076"/>
    <w:rsid w:val="006B2080"/>
    <w:rsid w:val="006B24F4"/>
    <w:rsid w:val="006B252C"/>
    <w:rsid w:val="006B38DC"/>
    <w:rsid w:val="006B43D0"/>
    <w:rsid w:val="006B4400"/>
    <w:rsid w:val="006B50E8"/>
    <w:rsid w:val="006C07CC"/>
    <w:rsid w:val="006C1EAC"/>
    <w:rsid w:val="006C2011"/>
    <w:rsid w:val="006C38B5"/>
    <w:rsid w:val="006C3A8C"/>
    <w:rsid w:val="006C4050"/>
    <w:rsid w:val="006C4966"/>
    <w:rsid w:val="006C4E7C"/>
    <w:rsid w:val="006C6256"/>
    <w:rsid w:val="006C7DA5"/>
    <w:rsid w:val="006C7F9E"/>
    <w:rsid w:val="006D089E"/>
    <w:rsid w:val="006D0F21"/>
    <w:rsid w:val="006D1853"/>
    <w:rsid w:val="006D1EC9"/>
    <w:rsid w:val="006D429E"/>
    <w:rsid w:val="006D43C2"/>
    <w:rsid w:val="006D47B9"/>
    <w:rsid w:val="006D4C6A"/>
    <w:rsid w:val="006D4F28"/>
    <w:rsid w:val="006D5A3A"/>
    <w:rsid w:val="006D6061"/>
    <w:rsid w:val="006D6184"/>
    <w:rsid w:val="006D6E8D"/>
    <w:rsid w:val="006D6F87"/>
    <w:rsid w:val="006D71B9"/>
    <w:rsid w:val="006D7858"/>
    <w:rsid w:val="006D7CE7"/>
    <w:rsid w:val="006D7EB2"/>
    <w:rsid w:val="006D7EF5"/>
    <w:rsid w:val="006E017F"/>
    <w:rsid w:val="006E0357"/>
    <w:rsid w:val="006E0BF1"/>
    <w:rsid w:val="006E1CFB"/>
    <w:rsid w:val="006E3665"/>
    <w:rsid w:val="006E4517"/>
    <w:rsid w:val="006E5479"/>
    <w:rsid w:val="006E55B2"/>
    <w:rsid w:val="006E5982"/>
    <w:rsid w:val="006E5AF4"/>
    <w:rsid w:val="006E6E23"/>
    <w:rsid w:val="006E6F2E"/>
    <w:rsid w:val="006F014F"/>
    <w:rsid w:val="006F0B62"/>
    <w:rsid w:val="006F10ED"/>
    <w:rsid w:val="006F158B"/>
    <w:rsid w:val="006F21F6"/>
    <w:rsid w:val="006F22A5"/>
    <w:rsid w:val="006F26AC"/>
    <w:rsid w:val="006F3142"/>
    <w:rsid w:val="006F3392"/>
    <w:rsid w:val="006F3A70"/>
    <w:rsid w:val="006F3DA2"/>
    <w:rsid w:val="006F4FE2"/>
    <w:rsid w:val="006F5BB9"/>
    <w:rsid w:val="006F5C63"/>
    <w:rsid w:val="006F6216"/>
    <w:rsid w:val="006F6883"/>
    <w:rsid w:val="006F79EE"/>
    <w:rsid w:val="006F7D68"/>
    <w:rsid w:val="00700634"/>
    <w:rsid w:val="00700C1B"/>
    <w:rsid w:val="00702C0A"/>
    <w:rsid w:val="007033B9"/>
    <w:rsid w:val="00703903"/>
    <w:rsid w:val="00703959"/>
    <w:rsid w:val="00704260"/>
    <w:rsid w:val="00704385"/>
    <w:rsid w:val="007049BE"/>
    <w:rsid w:val="007049D8"/>
    <w:rsid w:val="00706BDF"/>
    <w:rsid w:val="00706DD4"/>
    <w:rsid w:val="00707AF3"/>
    <w:rsid w:val="00707D81"/>
    <w:rsid w:val="00707F08"/>
    <w:rsid w:val="007105A0"/>
    <w:rsid w:val="00710877"/>
    <w:rsid w:val="007113DF"/>
    <w:rsid w:val="007118C5"/>
    <w:rsid w:val="00711D41"/>
    <w:rsid w:val="0071268E"/>
    <w:rsid w:val="0071286C"/>
    <w:rsid w:val="00713958"/>
    <w:rsid w:val="00713D18"/>
    <w:rsid w:val="00714DC5"/>
    <w:rsid w:val="00714E09"/>
    <w:rsid w:val="007152BA"/>
    <w:rsid w:val="00715549"/>
    <w:rsid w:val="00715670"/>
    <w:rsid w:val="00715818"/>
    <w:rsid w:val="007160CC"/>
    <w:rsid w:val="0071615F"/>
    <w:rsid w:val="007169DB"/>
    <w:rsid w:val="00716A55"/>
    <w:rsid w:val="00717AFF"/>
    <w:rsid w:val="00720255"/>
    <w:rsid w:val="00721FC0"/>
    <w:rsid w:val="007225E7"/>
    <w:rsid w:val="00722A36"/>
    <w:rsid w:val="007237E2"/>
    <w:rsid w:val="00723A9E"/>
    <w:rsid w:val="00723E11"/>
    <w:rsid w:val="00724BED"/>
    <w:rsid w:val="0072569E"/>
    <w:rsid w:val="00726FA1"/>
    <w:rsid w:val="00727828"/>
    <w:rsid w:val="007279A0"/>
    <w:rsid w:val="007304B0"/>
    <w:rsid w:val="00730B36"/>
    <w:rsid w:val="00730C49"/>
    <w:rsid w:val="00730FF9"/>
    <w:rsid w:val="00731263"/>
    <w:rsid w:val="00731C33"/>
    <w:rsid w:val="00732293"/>
    <w:rsid w:val="0073287A"/>
    <w:rsid w:val="00732E3F"/>
    <w:rsid w:val="007330F0"/>
    <w:rsid w:val="00733940"/>
    <w:rsid w:val="00733D67"/>
    <w:rsid w:val="00733DDA"/>
    <w:rsid w:val="007342CF"/>
    <w:rsid w:val="00734662"/>
    <w:rsid w:val="0073480A"/>
    <w:rsid w:val="007358E9"/>
    <w:rsid w:val="00735F48"/>
    <w:rsid w:val="00736C29"/>
    <w:rsid w:val="00737AF4"/>
    <w:rsid w:val="00737B90"/>
    <w:rsid w:val="0074031A"/>
    <w:rsid w:val="0074078F"/>
    <w:rsid w:val="007418F1"/>
    <w:rsid w:val="00741911"/>
    <w:rsid w:val="00741E54"/>
    <w:rsid w:val="00742BE5"/>
    <w:rsid w:val="007439F6"/>
    <w:rsid w:val="00743FA7"/>
    <w:rsid w:val="0074528B"/>
    <w:rsid w:val="00745DB5"/>
    <w:rsid w:val="00746048"/>
    <w:rsid w:val="00746C5D"/>
    <w:rsid w:val="00746DBD"/>
    <w:rsid w:val="00747382"/>
    <w:rsid w:val="007478BF"/>
    <w:rsid w:val="00747FE4"/>
    <w:rsid w:val="007509A9"/>
    <w:rsid w:val="00750ED3"/>
    <w:rsid w:val="007512F9"/>
    <w:rsid w:val="00751E4B"/>
    <w:rsid w:val="007524B2"/>
    <w:rsid w:val="00752730"/>
    <w:rsid w:val="007528AC"/>
    <w:rsid w:val="00754A85"/>
    <w:rsid w:val="00754E8F"/>
    <w:rsid w:val="0075511C"/>
    <w:rsid w:val="00755754"/>
    <w:rsid w:val="00755C5B"/>
    <w:rsid w:val="00761823"/>
    <w:rsid w:val="00761A9A"/>
    <w:rsid w:val="007622DB"/>
    <w:rsid w:val="00762A53"/>
    <w:rsid w:val="00762ACC"/>
    <w:rsid w:val="00763138"/>
    <w:rsid w:val="00763B11"/>
    <w:rsid w:val="00763CED"/>
    <w:rsid w:val="00763F38"/>
    <w:rsid w:val="00763F3C"/>
    <w:rsid w:val="0076416A"/>
    <w:rsid w:val="00765739"/>
    <w:rsid w:val="0076577F"/>
    <w:rsid w:val="00765894"/>
    <w:rsid w:val="00765A38"/>
    <w:rsid w:val="007672B2"/>
    <w:rsid w:val="00770937"/>
    <w:rsid w:val="00770A73"/>
    <w:rsid w:val="00770DDA"/>
    <w:rsid w:val="00771176"/>
    <w:rsid w:val="00772498"/>
    <w:rsid w:val="00772F42"/>
    <w:rsid w:val="00772FF9"/>
    <w:rsid w:val="0077470A"/>
    <w:rsid w:val="00775364"/>
    <w:rsid w:val="0077556A"/>
    <w:rsid w:val="00775A78"/>
    <w:rsid w:val="00776FCD"/>
    <w:rsid w:val="00777748"/>
    <w:rsid w:val="007804F2"/>
    <w:rsid w:val="0078086F"/>
    <w:rsid w:val="00780A17"/>
    <w:rsid w:val="007817C2"/>
    <w:rsid w:val="00781C57"/>
    <w:rsid w:val="00781E9B"/>
    <w:rsid w:val="00782095"/>
    <w:rsid w:val="007831FD"/>
    <w:rsid w:val="00783407"/>
    <w:rsid w:val="007839C2"/>
    <w:rsid w:val="00783C45"/>
    <w:rsid w:val="00784F26"/>
    <w:rsid w:val="00786309"/>
    <w:rsid w:val="00786810"/>
    <w:rsid w:val="00792A7A"/>
    <w:rsid w:val="00792DC1"/>
    <w:rsid w:val="007939FC"/>
    <w:rsid w:val="00793A97"/>
    <w:rsid w:val="00794433"/>
    <w:rsid w:val="0079477C"/>
    <w:rsid w:val="0079494E"/>
    <w:rsid w:val="007949F2"/>
    <w:rsid w:val="007957E6"/>
    <w:rsid w:val="00795FFA"/>
    <w:rsid w:val="00796D64"/>
    <w:rsid w:val="00797621"/>
    <w:rsid w:val="007A0AB2"/>
    <w:rsid w:val="007A1A16"/>
    <w:rsid w:val="007A3221"/>
    <w:rsid w:val="007A3A02"/>
    <w:rsid w:val="007A3C59"/>
    <w:rsid w:val="007A4540"/>
    <w:rsid w:val="007A4A2B"/>
    <w:rsid w:val="007A51E8"/>
    <w:rsid w:val="007A5AD7"/>
    <w:rsid w:val="007A6A6E"/>
    <w:rsid w:val="007A722B"/>
    <w:rsid w:val="007B152D"/>
    <w:rsid w:val="007B231D"/>
    <w:rsid w:val="007B4460"/>
    <w:rsid w:val="007B4C65"/>
    <w:rsid w:val="007B4CA3"/>
    <w:rsid w:val="007B4EDC"/>
    <w:rsid w:val="007B546C"/>
    <w:rsid w:val="007B56D6"/>
    <w:rsid w:val="007B5767"/>
    <w:rsid w:val="007B589C"/>
    <w:rsid w:val="007B61C4"/>
    <w:rsid w:val="007B6D5D"/>
    <w:rsid w:val="007B70F8"/>
    <w:rsid w:val="007B7EC8"/>
    <w:rsid w:val="007C0E93"/>
    <w:rsid w:val="007C2B0C"/>
    <w:rsid w:val="007C3028"/>
    <w:rsid w:val="007C3B77"/>
    <w:rsid w:val="007C53CE"/>
    <w:rsid w:val="007C5B75"/>
    <w:rsid w:val="007C5BC3"/>
    <w:rsid w:val="007D0408"/>
    <w:rsid w:val="007D0816"/>
    <w:rsid w:val="007D141A"/>
    <w:rsid w:val="007D20B0"/>
    <w:rsid w:val="007D2234"/>
    <w:rsid w:val="007D23A1"/>
    <w:rsid w:val="007D378B"/>
    <w:rsid w:val="007D47D7"/>
    <w:rsid w:val="007D5597"/>
    <w:rsid w:val="007D57AA"/>
    <w:rsid w:val="007D57C7"/>
    <w:rsid w:val="007D5D87"/>
    <w:rsid w:val="007D681E"/>
    <w:rsid w:val="007D68EE"/>
    <w:rsid w:val="007D6AF6"/>
    <w:rsid w:val="007D77D1"/>
    <w:rsid w:val="007D7DAD"/>
    <w:rsid w:val="007E0435"/>
    <w:rsid w:val="007E17F4"/>
    <w:rsid w:val="007E1FAF"/>
    <w:rsid w:val="007E26A4"/>
    <w:rsid w:val="007E2BB5"/>
    <w:rsid w:val="007E30DF"/>
    <w:rsid w:val="007E32A8"/>
    <w:rsid w:val="007E5386"/>
    <w:rsid w:val="007E5B9D"/>
    <w:rsid w:val="007E6285"/>
    <w:rsid w:val="007E6731"/>
    <w:rsid w:val="007E6FE3"/>
    <w:rsid w:val="007E7195"/>
    <w:rsid w:val="007E7AAF"/>
    <w:rsid w:val="007F041F"/>
    <w:rsid w:val="007F054B"/>
    <w:rsid w:val="007F09F5"/>
    <w:rsid w:val="007F0E0C"/>
    <w:rsid w:val="007F1E46"/>
    <w:rsid w:val="007F2D0D"/>
    <w:rsid w:val="007F2D7A"/>
    <w:rsid w:val="007F3636"/>
    <w:rsid w:val="007F46B0"/>
    <w:rsid w:val="007F4E3E"/>
    <w:rsid w:val="007F6783"/>
    <w:rsid w:val="007F698A"/>
    <w:rsid w:val="007F6BF0"/>
    <w:rsid w:val="007F72C1"/>
    <w:rsid w:val="007F7316"/>
    <w:rsid w:val="008001E3"/>
    <w:rsid w:val="00800A75"/>
    <w:rsid w:val="008013CC"/>
    <w:rsid w:val="00801DCA"/>
    <w:rsid w:val="00802F6A"/>
    <w:rsid w:val="008041FA"/>
    <w:rsid w:val="00804489"/>
    <w:rsid w:val="00805734"/>
    <w:rsid w:val="00805AF5"/>
    <w:rsid w:val="00806118"/>
    <w:rsid w:val="00806EF6"/>
    <w:rsid w:val="00807C10"/>
    <w:rsid w:val="00810BC3"/>
    <w:rsid w:val="008113BF"/>
    <w:rsid w:val="00813A99"/>
    <w:rsid w:val="00813BB4"/>
    <w:rsid w:val="0081439E"/>
    <w:rsid w:val="00814A4C"/>
    <w:rsid w:val="00814CEC"/>
    <w:rsid w:val="00814FF1"/>
    <w:rsid w:val="00816575"/>
    <w:rsid w:val="008166F8"/>
    <w:rsid w:val="00817A06"/>
    <w:rsid w:val="00817C88"/>
    <w:rsid w:val="00820865"/>
    <w:rsid w:val="0082169A"/>
    <w:rsid w:val="00821706"/>
    <w:rsid w:val="00821735"/>
    <w:rsid w:val="00821BE2"/>
    <w:rsid w:val="00822938"/>
    <w:rsid w:val="008231D3"/>
    <w:rsid w:val="008232F6"/>
    <w:rsid w:val="00824610"/>
    <w:rsid w:val="0082467D"/>
    <w:rsid w:val="00824B88"/>
    <w:rsid w:val="00824BD0"/>
    <w:rsid w:val="0082530F"/>
    <w:rsid w:val="00825A83"/>
    <w:rsid w:val="00825F3B"/>
    <w:rsid w:val="00826280"/>
    <w:rsid w:val="00826BFA"/>
    <w:rsid w:val="00827A3D"/>
    <w:rsid w:val="00827D06"/>
    <w:rsid w:val="00827F57"/>
    <w:rsid w:val="00830E4C"/>
    <w:rsid w:val="00831FEF"/>
    <w:rsid w:val="008320BC"/>
    <w:rsid w:val="00832355"/>
    <w:rsid w:val="00832DAF"/>
    <w:rsid w:val="00833189"/>
    <w:rsid w:val="00834376"/>
    <w:rsid w:val="00834A19"/>
    <w:rsid w:val="00836125"/>
    <w:rsid w:val="00836654"/>
    <w:rsid w:val="00837840"/>
    <w:rsid w:val="00837A6D"/>
    <w:rsid w:val="00840949"/>
    <w:rsid w:val="00841406"/>
    <w:rsid w:val="00841697"/>
    <w:rsid w:val="00842B98"/>
    <w:rsid w:val="00842D6B"/>
    <w:rsid w:val="00843AEC"/>
    <w:rsid w:val="0084446E"/>
    <w:rsid w:val="00844655"/>
    <w:rsid w:val="00845702"/>
    <w:rsid w:val="00845892"/>
    <w:rsid w:val="00846091"/>
    <w:rsid w:val="008463C1"/>
    <w:rsid w:val="008467BB"/>
    <w:rsid w:val="008470BC"/>
    <w:rsid w:val="008473A0"/>
    <w:rsid w:val="00850E98"/>
    <w:rsid w:val="00850F8A"/>
    <w:rsid w:val="008516B6"/>
    <w:rsid w:val="00851D94"/>
    <w:rsid w:val="00851E70"/>
    <w:rsid w:val="008533E3"/>
    <w:rsid w:val="00853BE2"/>
    <w:rsid w:val="00853E68"/>
    <w:rsid w:val="008543EB"/>
    <w:rsid w:val="00854967"/>
    <w:rsid w:val="00854C66"/>
    <w:rsid w:val="00854D4B"/>
    <w:rsid w:val="00854F6B"/>
    <w:rsid w:val="0085618C"/>
    <w:rsid w:val="00856B41"/>
    <w:rsid w:val="00856BE9"/>
    <w:rsid w:val="008571EC"/>
    <w:rsid w:val="00857C41"/>
    <w:rsid w:val="00860A48"/>
    <w:rsid w:val="0086132B"/>
    <w:rsid w:val="00861FEA"/>
    <w:rsid w:val="00862118"/>
    <w:rsid w:val="00862B5D"/>
    <w:rsid w:val="00863879"/>
    <w:rsid w:val="00863CC4"/>
    <w:rsid w:val="008640A2"/>
    <w:rsid w:val="00864868"/>
    <w:rsid w:val="008660BB"/>
    <w:rsid w:val="008663FF"/>
    <w:rsid w:val="008674EF"/>
    <w:rsid w:val="00867C12"/>
    <w:rsid w:val="00867FC1"/>
    <w:rsid w:val="0087096C"/>
    <w:rsid w:val="008711F3"/>
    <w:rsid w:val="00871B1F"/>
    <w:rsid w:val="00871E75"/>
    <w:rsid w:val="00872393"/>
    <w:rsid w:val="00872B69"/>
    <w:rsid w:val="008735AB"/>
    <w:rsid w:val="00873EE4"/>
    <w:rsid w:val="00874C9F"/>
    <w:rsid w:val="00874DD0"/>
    <w:rsid w:val="00874F08"/>
    <w:rsid w:val="00875499"/>
    <w:rsid w:val="00875763"/>
    <w:rsid w:val="00875B72"/>
    <w:rsid w:val="00876509"/>
    <w:rsid w:val="0087661A"/>
    <w:rsid w:val="008777F2"/>
    <w:rsid w:val="0088138C"/>
    <w:rsid w:val="00881C3B"/>
    <w:rsid w:val="00881D64"/>
    <w:rsid w:val="00882613"/>
    <w:rsid w:val="00882DE6"/>
    <w:rsid w:val="00883B30"/>
    <w:rsid w:val="00883C58"/>
    <w:rsid w:val="008846FB"/>
    <w:rsid w:val="00884E66"/>
    <w:rsid w:val="00885186"/>
    <w:rsid w:val="008851C4"/>
    <w:rsid w:val="00885D0B"/>
    <w:rsid w:val="00885F29"/>
    <w:rsid w:val="00890533"/>
    <w:rsid w:val="00890BEB"/>
    <w:rsid w:val="00890E56"/>
    <w:rsid w:val="00891033"/>
    <w:rsid w:val="0089140B"/>
    <w:rsid w:val="00891441"/>
    <w:rsid w:val="0089173C"/>
    <w:rsid w:val="00891799"/>
    <w:rsid w:val="00892C7C"/>
    <w:rsid w:val="00892D08"/>
    <w:rsid w:val="00893267"/>
    <w:rsid w:val="0089378C"/>
    <w:rsid w:val="008937BF"/>
    <w:rsid w:val="00893B11"/>
    <w:rsid w:val="00893B13"/>
    <w:rsid w:val="008943AA"/>
    <w:rsid w:val="00894F03"/>
    <w:rsid w:val="0089532E"/>
    <w:rsid w:val="0089656B"/>
    <w:rsid w:val="008974F1"/>
    <w:rsid w:val="008978FE"/>
    <w:rsid w:val="008A03CD"/>
    <w:rsid w:val="008A0683"/>
    <w:rsid w:val="008A0ABE"/>
    <w:rsid w:val="008A14D1"/>
    <w:rsid w:val="008A380B"/>
    <w:rsid w:val="008A5026"/>
    <w:rsid w:val="008A5AAD"/>
    <w:rsid w:val="008A6CF2"/>
    <w:rsid w:val="008A6EB8"/>
    <w:rsid w:val="008A71E0"/>
    <w:rsid w:val="008A7F0F"/>
    <w:rsid w:val="008B00C2"/>
    <w:rsid w:val="008B0D60"/>
    <w:rsid w:val="008B1342"/>
    <w:rsid w:val="008B1EC6"/>
    <w:rsid w:val="008B23CA"/>
    <w:rsid w:val="008B23F5"/>
    <w:rsid w:val="008B24AA"/>
    <w:rsid w:val="008B2912"/>
    <w:rsid w:val="008B2F5C"/>
    <w:rsid w:val="008B329C"/>
    <w:rsid w:val="008B3666"/>
    <w:rsid w:val="008B3750"/>
    <w:rsid w:val="008B3B89"/>
    <w:rsid w:val="008B3BB9"/>
    <w:rsid w:val="008B4747"/>
    <w:rsid w:val="008B4D16"/>
    <w:rsid w:val="008B50EC"/>
    <w:rsid w:val="008B52C7"/>
    <w:rsid w:val="008B54A8"/>
    <w:rsid w:val="008B5881"/>
    <w:rsid w:val="008B6891"/>
    <w:rsid w:val="008B736C"/>
    <w:rsid w:val="008B7BF4"/>
    <w:rsid w:val="008B7C03"/>
    <w:rsid w:val="008C05EC"/>
    <w:rsid w:val="008C0CC6"/>
    <w:rsid w:val="008C0FD6"/>
    <w:rsid w:val="008C1269"/>
    <w:rsid w:val="008C17EC"/>
    <w:rsid w:val="008C213F"/>
    <w:rsid w:val="008C2923"/>
    <w:rsid w:val="008C2CB6"/>
    <w:rsid w:val="008C2D51"/>
    <w:rsid w:val="008C3193"/>
    <w:rsid w:val="008C3C8A"/>
    <w:rsid w:val="008C40E0"/>
    <w:rsid w:val="008C44B0"/>
    <w:rsid w:val="008C5557"/>
    <w:rsid w:val="008C5656"/>
    <w:rsid w:val="008C576F"/>
    <w:rsid w:val="008C658D"/>
    <w:rsid w:val="008C67F6"/>
    <w:rsid w:val="008C6995"/>
    <w:rsid w:val="008C7A4E"/>
    <w:rsid w:val="008D0828"/>
    <w:rsid w:val="008D1E36"/>
    <w:rsid w:val="008D1F77"/>
    <w:rsid w:val="008D213A"/>
    <w:rsid w:val="008D6056"/>
    <w:rsid w:val="008D74FD"/>
    <w:rsid w:val="008D7E40"/>
    <w:rsid w:val="008D7E72"/>
    <w:rsid w:val="008E050E"/>
    <w:rsid w:val="008E08AC"/>
    <w:rsid w:val="008E0AEC"/>
    <w:rsid w:val="008E185D"/>
    <w:rsid w:val="008E2765"/>
    <w:rsid w:val="008E2A57"/>
    <w:rsid w:val="008E399A"/>
    <w:rsid w:val="008E4E4F"/>
    <w:rsid w:val="008E4E54"/>
    <w:rsid w:val="008E6785"/>
    <w:rsid w:val="008E7056"/>
    <w:rsid w:val="008E7314"/>
    <w:rsid w:val="008E7920"/>
    <w:rsid w:val="008F08A9"/>
    <w:rsid w:val="008F0FD5"/>
    <w:rsid w:val="008F1327"/>
    <w:rsid w:val="008F2105"/>
    <w:rsid w:val="008F26A1"/>
    <w:rsid w:val="008F2A85"/>
    <w:rsid w:val="008F35DC"/>
    <w:rsid w:val="008F39EC"/>
    <w:rsid w:val="008F46CD"/>
    <w:rsid w:val="008F4724"/>
    <w:rsid w:val="008F4AEE"/>
    <w:rsid w:val="008F5017"/>
    <w:rsid w:val="008F6411"/>
    <w:rsid w:val="008F6C15"/>
    <w:rsid w:val="008F70D4"/>
    <w:rsid w:val="008F7323"/>
    <w:rsid w:val="008F738D"/>
    <w:rsid w:val="008F7679"/>
    <w:rsid w:val="008F7B6A"/>
    <w:rsid w:val="008F7C22"/>
    <w:rsid w:val="00900517"/>
    <w:rsid w:val="0090080C"/>
    <w:rsid w:val="00900B11"/>
    <w:rsid w:val="009017E6"/>
    <w:rsid w:val="00901B53"/>
    <w:rsid w:val="0090320A"/>
    <w:rsid w:val="00903891"/>
    <w:rsid w:val="009038E2"/>
    <w:rsid w:val="00904039"/>
    <w:rsid w:val="00904F09"/>
    <w:rsid w:val="00905353"/>
    <w:rsid w:val="009058A7"/>
    <w:rsid w:val="0090685B"/>
    <w:rsid w:val="00907033"/>
    <w:rsid w:val="00907832"/>
    <w:rsid w:val="00907985"/>
    <w:rsid w:val="009116BF"/>
    <w:rsid w:val="0091240C"/>
    <w:rsid w:val="0091257E"/>
    <w:rsid w:val="009129C8"/>
    <w:rsid w:val="0091320B"/>
    <w:rsid w:val="009144FF"/>
    <w:rsid w:val="00914B6E"/>
    <w:rsid w:val="00914E16"/>
    <w:rsid w:val="00915C3A"/>
    <w:rsid w:val="0091721E"/>
    <w:rsid w:val="00917333"/>
    <w:rsid w:val="009173F1"/>
    <w:rsid w:val="009176A8"/>
    <w:rsid w:val="00920078"/>
    <w:rsid w:val="00920396"/>
    <w:rsid w:val="0092045A"/>
    <w:rsid w:val="00920933"/>
    <w:rsid w:val="00920F33"/>
    <w:rsid w:val="00922E8A"/>
    <w:rsid w:val="00923347"/>
    <w:rsid w:val="00923921"/>
    <w:rsid w:val="00923E89"/>
    <w:rsid w:val="00923F2A"/>
    <w:rsid w:val="009241A6"/>
    <w:rsid w:val="009265C3"/>
    <w:rsid w:val="009268E4"/>
    <w:rsid w:val="00926AAC"/>
    <w:rsid w:val="00926E9B"/>
    <w:rsid w:val="009308FE"/>
    <w:rsid w:val="00930D93"/>
    <w:rsid w:val="00931377"/>
    <w:rsid w:val="0093208F"/>
    <w:rsid w:val="009323B7"/>
    <w:rsid w:val="00932AD8"/>
    <w:rsid w:val="00932C5E"/>
    <w:rsid w:val="00932F28"/>
    <w:rsid w:val="0093529D"/>
    <w:rsid w:val="009356E5"/>
    <w:rsid w:val="00935993"/>
    <w:rsid w:val="00936D2E"/>
    <w:rsid w:val="0093737A"/>
    <w:rsid w:val="0094037D"/>
    <w:rsid w:val="00940957"/>
    <w:rsid w:val="009416A2"/>
    <w:rsid w:val="009422E0"/>
    <w:rsid w:val="009424F7"/>
    <w:rsid w:val="0094316D"/>
    <w:rsid w:val="00943314"/>
    <w:rsid w:val="00943395"/>
    <w:rsid w:val="009453C5"/>
    <w:rsid w:val="009461A9"/>
    <w:rsid w:val="00946853"/>
    <w:rsid w:val="00946874"/>
    <w:rsid w:val="00946D31"/>
    <w:rsid w:val="00947268"/>
    <w:rsid w:val="00947DD8"/>
    <w:rsid w:val="00950308"/>
    <w:rsid w:val="009507F0"/>
    <w:rsid w:val="00950AAF"/>
    <w:rsid w:val="00950DBD"/>
    <w:rsid w:val="00951F87"/>
    <w:rsid w:val="009521B6"/>
    <w:rsid w:val="009524AA"/>
    <w:rsid w:val="00952967"/>
    <w:rsid w:val="00952B07"/>
    <w:rsid w:val="00952C0B"/>
    <w:rsid w:val="00952CB1"/>
    <w:rsid w:val="00952DCA"/>
    <w:rsid w:val="009537EF"/>
    <w:rsid w:val="00953A62"/>
    <w:rsid w:val="00954055"/>
    <w:rsid w:val="0095436F"/>
    <w:rsid w:val="00954C18"/>
    <w:rsid w:val="0095560C"/>
    <w:rsid w:val="00955720"/>
    <w:rsid w:val="00956263"/>
    <w:rsid w:val="00956D04"/>
    <w:rsid w:val="00957C13"/>
    <w:rsid w:val="009604B7"/>
    <w:rsid w:val="0096050B"/>
    <w:rsid w:val="00960CEB"/>
    <w:rsid w:val="00961311"/>
    <w:rsid w:val="00962635"/>
    <w:rsid w:val="00962865"/>
    <w:rsid w:val="00962A43"/>
    <w:rsid w:val="00963543"/>
    <w:rsid w:val="009640CA"/>
    <w:rsid w:val="009646E8"/>
    <w:rsid w:val="00964D72"/>
    <w:rsid w:val="00965190"/>
    <w:rsid w:val="009654C2"/>
    <w:rsid w:val="00967CB3"/>
    <w:rsid w:val="00967EB6"/>
    <w:rsid w:val="009703C3"/>
    <w:rsid w:val="0097070C"/>
    <w:rsid w:val="00971178"/>
    <w:rsid w:val="00971516"/>
    <w:rsid w:val="0097177C"/>
    <w:rsid w:val="00971A82"/>
    <w:rsid w:val="009724A2"/>
    <w:rsid w:val="009724FD"/>
    <w:rsid w:val="009738B1"/>
    <w:rsid w:val="00973990"/>
    <w:rsid w:val="00973B04"/>
    <w:rsid w:val="00974E38"/>
    <w:rsid w:val="009753A4"/>
    <w:rsid w:val="0097562E"/>
    <w:rsid w:val="00975645"/>
    <w:rsid w:val="00975995"/>
    <w:rsid w:val="00975A36"/>
    <w:rsid w:val="0097698F"/>
    <w:rsid w:val="00976BA1"/>
    <w:rsid w:val="0097727C"/>
    <w:rsid w:val="00977CDA"/>
    <w:rsid w:val="00980571"/>
    <w:rsid w:val="0098094F"/>
    <w:rsid w:val="00980D88"/>
    <w:rsid w:val="009823E2"/>
    <w:rsid w:val="0098281A"/>
    <w:rsid w:val="00982B1B"/>
    <w:rsid w:val="00982D27"/>
    <w:rsid w:val="009834FC"/>
    <w:rsid w:val="009839C6"/>
    <w:rsid w:val="009841F1"/>
    <w:rsid w:val="009843A6"/>
    <w:rsid w:val="00984643"/>
    <w:rsid w:val="00984AF9"/>
    <w:rsid w:val="009852AC"/>
    <w:rsid w:val="00985535"/>
    <w:rsid w:val="0098648B"/>
    <w:rsid w:val="00986B46"/>
    <w:rsid w:val="00986C6C"/>
    <w:rsid w:val="009872A8"/>
    <w:rsid w:val="009872AF"/>
    <w:rsid w:val="009900CA"/>
    <w:rsid w:val="00990D82"/>
    <w:rsid w:val="00991554"/>
    <w:rsid w:val="00991F89"/>
    <w:rsid w:val="00992677"/>
    <w:rsid w:val="00992B28"/>
    <w:rsid w:val="00992D96"/>
    <w:rsid w:val="00992E08"/>
    <w:rsid w:val="00992F62"/>
    <w:rsid w:val="0099300B"/>
    <w:rsid w:val="009933B2"/>
    <w:rsid w:val="00993E2C"/>
    <w:rsid w:val="009948F9"/>
    <w:rsid w:val="00995217"/>
    <w:rsid w:val="00996051"/>
    <w:rsid w:val="009962F2"/>
    <w:rsid w:val="00996A34"/>
    <w:rsid w:val="00997B7E"/>
    <w:rsid w:val="009A0143"/>
    <w:rsid w:val="009A0836"/>
    <w:rsid w:val="009A0B2A"/>
    <w:rsid w:val="009A1CB6"/>
    <w:rsid w:val="009A2A22"/>
    <w:rsid w:val="009A3287"/>
    <w:rsid w:val="009A363A"/>
    <w:rsid w:val="009A428D"/>
    <w:rsid w:val="009A4C10"/>
    <w:rsid w:val="009A4F6A"/>
    <w:rsid w:val="009A5150"/>
    <w:rsid w:val="009A5ADD"/>
    <w:rsid w:val="009A72EC"/>
    <w:rsid w:val="009A7CEA"/>
    <w:rsid w:val="009B34C5"/>
    <w:rsid w:val="009B4001"/>
    <w:rsid w:val="009B45C1"/>
    <w:rsid w:val="009B4601"/>
    <w:rsid w:val="009B47B8"/>
    <w:rsid w:val="009B5671"/>
    <w:rsid w:val="009B610D"/>
    <w:rsid w:val="009B629A"/>
    <w:rsid w:val="009B668E"/>
    <w:rsid w:val="009B78DE"/>
    <w:rsid w:val="009B7D6B"/>
    <w:rsid w:val="009B7E70"/>
    <w:rsid w:val="009C13E5"/>
    <w:rsid w:val="009C2702"/>
    <w:rsid w:val="009C3225"/>
    <w:rsid w:val="009C3B01"/>
    <w:rsid w:val="009C3C7F"/>
    <w:rsid w:val="009C438F"/>
    <w:rsid w:val="009C4CDE"/>
    <w:rsid w:val="009C4E84"/>
    <w:rsid w:val="009C4F34"/>
    <w:rsid w:val="009C5626"/>
    <w:rsid w:val="009C56B3"/>
    <w:rsid w:val="009C5AE1"/>
    <w:rsid w:val="009C5B51"/>
    <w:rsid w:val="009C6373"/>
    <w:rsid w:val="009C6802"/>
    <w:rsid w:val="009C7387"/>
    <w:rsid w:val="009C7631"/>
    <w:rsid w:val="009D0367"/>
    <w:rsid w:val="009D05C2"/>
    <w:rsid w:val="009D21CA"/>
    <w:rsid w:val="009D2ECB"/>
    <w:rsid w:val="009D340D"/>
    <w:rsid w:val="009D37A3"/>
    <w:rsid w:val="009D4D71"/>
    <w:rsid w:val="009D4EA0"/>
    <w:rsid w:val="009D6AB4"/>
    <w:rsid w:val="009D6EA2"/>
    <w:rsid w:val="009D7DEF"/>
    <w:rsid w:val="009E151A"/>
    <w:rsid w:val="009E195C"/>
    <w:rsid w:val="009E1A33"/>
    <w:rsid w:val="009E1F2F"/>
    <w:rsid w:val="009E2092"/>
    <w:rsid w:val="009E219B"/>
    <w:rsid w:val="009E247E"/>
    <w:rsid w:val="009E2BA4"/>
    <w:rsid w:val="009E319B"/>
    <w:rsid w:val="009E327A"/>
    <w:rsid w:val="009E3534"/>
    <w:rsid w:val="009E35CC"/>
    <w:rsid w:val="009E3B58"/>
    <w:rsid w:val="009E5017"/>
    <w:rsid w:val="009E64C5"/>
    <w:rsid w:val="009F05CC"/>
    <w:rsid w:val="009F0C84"/>
    <w:rsid w:val="009F0FD0"/>
    <w:rsid w:val="009F1CCC"/>
    <w:rsid w:val="009F2634"/>
    <w:rsid w:val="009F4058"/>
    <w:rsid w:val="009F587E"/>
    <w:rsid w:val="009F6D9D"/>
    <w:rsid w:val="009F706F"/>
    <w:rsid w:val="009F73CA"/>
    <w:rsid w:val="00A0105B"/>
    <w:rsid w:val="00A01251"/>
    <w:rsid w:val="00A01B60"/>
    <w:rsid w:val="00A03081"/>
    <w:rsid w:val="00A03309"/>
    <w:rsid w:val="00A034B7"/>
    <w:rsid w:val="00A03F51"/>
    <w:rsid w:val="00A05402"/>
    <w:rsid w:val="00A06510"/>
    <w:rsid w:val="00A0668D"/>
    <w:rsid w:val="00A06A02"/>
    <w:rsid w:val="00A072AC"/>
    <w:rsid w:val="00A072F2"/>
    <w:rsid w:val="00A07ADF"/>
    <w:rsid w:val="00A10CE4"/>
    <w:rsid w:val="00A10EE9"/>
    <w:rsid w:val="00A11D16"/>
    <w:rsid w:val="00A12E98"/>
    <w:rsid w:val="00A13E16"/>
    <w:rsid w:val="00A15579"/>
    <w:rsid w:val="00A15737"/>
    <w:rsid w:val="00A160C3"/>
    <w:rsid w:val="00A16D0A"/>
    <w:rsid w:val="00A175DF"/>
    <w:rsid w:val="00A1788F"/>
    <w:rsid w:val="00A20479"/>
    <w:rsid w:val="00A215EB"/>
    <w:rsid w:val="00A21A1B"/>
    <w:rsid w:val="00A21FFA"/>
    <w:rsid w:val="00A2224B"/>
    <w:rsid w:val="00A222D9"/>
    <w:rsid w:val="00A2243D"/>
    <w:rsid w:val="00A2283D"/>
    <w:rsid w:val="00A22A20"/>
    <w:rsid w:val="00A23203"/>
    <w:rsid w:val="00A2370A"/>
    <w:rsid w:val="00A24E93"/>
    <w:rsid w:val="00A269FB"/>
    <w:rsid w:val="00A2702A"/>
    <w:rsid w:val="00A278D1"/>
    <w:rsid w:val="00A30117"/>
    <w:rsid w:val="00A306F9"/>
    <w:rsid w:val="00A31CDB"/>
    <w:rsid w:val="00A31DAB"/>
    <w:rsid w:val="00A320E5"/>
    <w:rsid w:val="00A322CF"/>
    <w:rsid w:val="00A32DFF"/>
    <w:rsid w:val="00A332C7"/>
    <w:rsid w:val="00A3376E"/>
    <w:rsid w:val="00A345F4"/>
    <w:rsid w:val="00A35237"/>
    <w:rsid w:val="00A35889"/>
    <w:rsid w:val="00A3596A"/>
    <w:rsid w:val="00A35DBE"/>
    <w:rsid w:val="00A361BF"/>
    <w:rsid w:val="00A367AF"/>
    <w:rsid w:val="00A367B9"/>
    <w:rsid w:val="00A367CF"/>
    <w:rsid w:val="00A36A53"/>
    <w:rsid w:val="00A36ADC"/>
    <w:rsid w:val="00A36D30"/>
    <w:rsid w:val="00A376C9"/>
    <w:rsid w:val="00A3784C"/>
    <w:rsid w:val="00A403BF"/>
    <w:rsid w:val="00A41CDE"/>
    <w:rsid w:val="00A424DC"/>
    <w:rsid w:val="00A42D47"/>
    <w:rsid w:val="00A43866"/>
    <w:rsid w:val="00A43BBE"/>
    <w:rsid w:val="00A43E5C"/>
    <w:rsid w:val="00A43FD6"/>
    <w:rsid w:val="00A441A5"/>
    <w:rsid w:val="00A442BE"/>
    <w:rsid w:val="00A444A5"/>
    <w:rsid w:val="00A44D27"/>
    <w:rsid w:val="00A45F60"/>
    <w:rsid w:val="00A46199"/>
    <w:rsid w:val="00A469D5"/>
    <w:rsid w:val="00A470F3"/>
    <w:rsid w:val="00A47BBB"/>
    <w:rsid w:val="00A47C57"/>
    <w:rsid w:val="00A50C91"/>
    <w:rsid w:val="00A5104E"/>
    <w:rsid w:val="00A51ECE"/>
    <w:rsid w:val="00A5225F"/>
    <w:rsid w:val="00A52842"/>
    <w:rsid w:val="00A532B9"/>
    <w:rsid w:val="00A53F84"/>
    <w:rsid w:val="00A54224"/>
    <w:rsid w:val="00A54509"/>
    <w:rsid w:val="00A55127"/>
    <w:rsid w:val="00A553FD"/>
    <w:rsid w:val="00A55EB4"/>
    <w:rsid w:val="00A55F7C"/>
    <w:rsid w:val="00A5600D"/>
    <w:rsid w:val="00A5611D"/>
    <w:rsid w:val="00A5686C"/>
    <w:rsid w:val="00A5699A"/>
    <w:rsid w:val="00A569F0"/>
    <w:rsid w:val="00A56FAB"/>
    <w:rsid w:val="00A57465"/>
    <w:rsid w:val="00A576FF"/>
    <w:rsid w:val="00A57AB2"/>
    <w:rsid w:val="00A600CF"/>
    <w:rsid w:val="00A6032E"/>
    <w:rsid w:val="00A60353"/>
    <w:rsid w:val="00A60468"/>
    <w:rsid w:val="00A610D1"/>
    <w:rsid w:val="00A61E08"/>
    <w:rsid w:val="00A63A81"/>
    <w:rsid w:val="00A6437B"/>
    <w:rsid w:val="00A64CF1"/>
    <w:rsid w:val="00A65850"/>
    <w:rsid w:val="00A6683B"/>
    <w:rsid w:val="00A669D2"/>
    <w:rsid w:val="00A66E80"/>
    <w:rsid w:val="00A67334"/>
    <w:rsid w:val="00A6762E"/>
    <w:rsid w:val="00A67C96"/>
    <w:rsid w:val="00A67E84"/>
    <w:rsid w:val="00A707DD"/>
    <w:rsid w:val="00A70C86"/>
    <w:rsid w:val="00A73A9C"/>
    <w:rsid w:val="00A73D8C"/>
    <w:rsid w:val="00A752AB"/>
    <w:rsid w:val="00A75EAB"/>
    <w:rsid w:val="00A771B5"/>
    <w:rsid w:val="00A77A67"/>
    <w:rsid w:val="00A77A9B"/>
    <w:rsid w:val="00A77BB1"/>
    <w:rsid w:val="00A77C42"/>
    <w:rsid w:val="00A77D7B"/>
    <w:rsid w:val="00A802CF"/>
    <w:rsid w:val="00A8089D"/>
    <w:rsid w:val="00A8142E"/>
    <w:rsid w:val="00A820A3"/>
    <w:rsid w:val="00A83FEA"/>
    <w:rsid w:val="00A85666"/>
    <w:rsid w:val="00A85909"/>
    <w:rsid w:val="00A85A5E"/>
    <w:rsid w:val="00A85C10"/>
    <w:rsid w:val="00A85CCA"/>
    <w:rsid w:val="00A86D5F"/>
    <w:rsid w:val="00A87241"/>
    <w:rsid w:val="00A873FC"/>
    <w:rsid w:val="00A9172D"/>
    <w:rsid w:val="00A9209B"/>
    <w:rsid w:val="00A933FB"/>
    <w:rsid w:val="00A93495"/>
    <w:rsid w:val="00A93AE2"/>
    <w:rsid w:val="00A94236"/>
    <w:rsid w:val="00A95349"/>
    <w:rsid w:val="00A95C4D"/>
    <w:rsid w:val="00A96172"/>
    <w:rsid w:val="00A9623C"/>
    <w:rsid w:val="00A96B8C"/>
    <w:rsid w:val="00A96D6E"/>
    <w:rsid w:val="00A96F47"/>
    <w:rsid w:val="00A97734"/>
    <w:rsid w:val="00A97EAD"/>
    <w:rsid w:val="00AA06F2"/>
    <w:rsid w:val="00AA0962"/>
    <w:rsid w:val="00AA097E"/>
    <w:rsid w:val="00AA0AE7"/>
    <w:rsid w:val="00AA1487"/>
    <w:rsid w:val="00AA1F8E"/>
    <w:rsid w:val="00AA233F"/>
    <w:rsid w:val="00AA32B9"/>
    <w:rsid w:val="00AA34BB"/>
    <w:rsid w:val="00AA3E02"/>
    <w:rsid w:val="00AA4CEF"/>
    <w:rsid w:val="00AA4D03"/>
    <w:rsid w:val="00AA4D9A"/>
    <w:rsid w:val="00AA6083"/>
    <w:rsid w:val="00AA6962"/>
    <w:rsid w:val="00AA6ECB"/>
    <w:rsid w:val="00AB0B18"/>
    <w:rsid w:val="00AB36C4"/>
    <w:rsid w:val="00AB4048"/>
    <w:rsid w:val="00AB4E98"/>
    <w:rsid w:val="00AB6B67"/>
    <w:rsid w:val="00AB764F"/>
    <w:rsid w:val="00AC09F5"/>
    <w:rsid w:val="00AC0DDA"/>
    <w:rsid w:val="00AC0FD2"/>
    <w:rsid w:val="00AC1142"/>
    <w:rsid w:val="00AC173E"/>
    <w:rsid w:val="00AC3522"/>
    <w:rsid w:val="00AC3AAD"/>
    <w:rsid w:val="00AC3BE5"/>
    <w:rsid w:val="00AC4266"/>
    <w:rsid w:val="00AC4275"/>
    <w:rsid w:val="00AC5135"/>
    <w:rsid w:val="00AC6213"/>
    <w:rsid w:val="00AC666B"/>
    <w:rsid w:val="00AC6FC4"/>
    <w:rsid w:val="00AC7061"/>
    <w:rsid w:val="00AC7B58"/>
    <w:rsid w:val="00AD00B4"/>
    <w:rsid w:val="00AD023F"/>
    <w:rsid w:val="00AD0D24"/>
    <w:rsid w:val="00AD113B"/>
    <w:rsid w:val="00AD2612"/>
    <w:rsid w:val="00AD3526"/>
    <w:rsid w:val="00AD3898"/>
    <w:rsid w:val="00AD3AEF"/>
    <w:rsid w:val="00AD3D2D"/>
    <w:rsid w:val="00AD3D75"/>
    <w:rsid w:val="00AD41B3"/>
    <w:rsid w:val="00AD5EC3"/>
    <w:rsid w:val="00AD62B5"/>
    <w:rsid w:val="00AD6401"/>
    <w:rsid w:val="00AD6872"/>
    <w:rsid w:val="00AD6D2C"/>
    <w:rsid w:val="00AD78FF"/>
    <w:rsid w:val="00AE0B17"/>
    <w:rsid w:val="00AE0F2A"/>
    <w:rsid w:val="00AE1507"/>
    <w:rsid w:val="00AE1C7B"/>
    <w:rsid w:val="00AE22F5"/>
    <w:rsid w:val="00AE283E"/>
    <w:rsid w:val="00AE2977"/>
    <w:rsid w:val="00AE2D52"/>
    <w:rsid w:val="00AE3B62"/>
    <w:rsid w:val="00AE3DD7"/>
    <w:rsid w:val="00AE4721"/>
    <w:rsid w:val="00AE560E"/>
    <w:rsid w:val="00AE61F8"/>
    <w:rsid w:val="00AE73F0"/>
    <w:rsid w:val="00AE773A"/>
    <w:rsid w:val="00AE794A"/>
    <w:rsid w:val="00AE7D38"/>
    <w:rsid w:val="00AE7E10"/>
    <w:rsid w:val="00AF0FE0"/>
    <w:rsid w:val="00AF1164"/>
    <w:rsid w:val="00AF1E92"/>
    <w:rsid w:val="00AF228F"/>
    <w:rsid w:val="00AF291C"/>
    <w:rsid w:val="00AF29A5"/>
    <w:rsid w:val="00AF3442"/>
    <w:rsid w:val="00AF3D3A"/>
    <w:rsid w:val="00AF4286"/>
    <w:rsid w:val="00AF42D9"/>
    <w:rsid w:val="00AF43B4"/>
    <w:rsid w:val="00AF55CB"/>
    <w:rsid w:val="00AF5604"/>
    <w:rsid w:val="00AF748E"/>
    <w:rsid w:val="00AF7577"/>
    <w:rsid w:val="00AF7CD4"/>
    <w:rsid w:val="00AF7EE6"/>
    <w:rsid w:val="00B007DD"/>
    <w:rsid w:val="00B00808"/>
    <w:rsid w:val="00B0086F"/>
    <w:rsid w:val="00B00C22"/>
    <w:rsid w:val="00B00DAA"/>
    <w:rsid w:val="00B01807"/>
    <w:rsid w:val="00B01C19"/>
    <w:rsid w:val="00B025DA"/>
    <w:rsid w:val="00B02C0D"/>
    <w:rsid w:val="00B02E87"/>
    <w:rsid w:val="00B03844"/>
    <w:rsid w:val="00B03A6F"/>
    <w:rsid w:val="00B0410A"/>
    <w:rsid w:val="00B04B73"/>
    <w:rsid w:val="00B04D29"/>
    <w:rsid w:val="00B053B3"/>
    <w:rsid w:val="00B058AB"/>
    <w:rsid w:val="00B060C6"/>
    <w:rsid w:val="00B0757B"/>
    <w:rsid w:val="00B10C91"/>
    <w:rsid w:val="00B112D8"/>
    <w:rsid w:val="00B11431"/>
    <w:rsid w:val="00B12355"/>
    <w:rsid w:val="00B12614"/>
    <w:rsid w:val="00B12626"/>
    <w:rsid w:val="00B12CFC"/>
    <w:rsid w:val="00B137E8"/>
    <w:rsid w:val="00B14819"/>
    <w:rsid w:val="00B14F1D"/>
    <w:rsid w:val="00B158CB"/>
    <w:rsid w:val="00B169BF"/>
    <w:rsid w:val="00B16BDB"/>
    <w:rsid w:val="00B17BE4"/>
    <w:rsid w:val="00B20032"/>
    <w:rsid w:val="00B201F4"/>
    <w:rsid w:val="00B22D73"/>
    <w:rsid w:val="00B23362"/>
    <w:rsid w:val="00B23FDD"/>
    <w:rsid w:val="00B2516B"/>
    <w:rsid w:val="00B25E94"/>
    <w:rsid w:val="00B26082"/>
    <w:rsid w:val="00B2728C"/>
    <w:rsid w:val="00B310D4"/>
    <w:rsid w:val="00B31B73"/>
    <w:rsid w:val="00B32641"/>
    <w:rsid w:val="00B337B0"/>
    <w:rsid w:val="00B33AF7"/>
    <w:rsid w:val="00B344D2"/>
    <w:rsid w:val="00B34709"/>
    <w:rsid w:val="00B34980"/>
    <w:rsid w:val="00B3546A"/>
    <w:rsid w:val="00B355FB"/>
    <w:rsid w:val="00B36ECB"/>
    <w:rsid w:val="00B37E2C"/>
    <w:rsid w:val="00B40464"/>
    <w:rsid w:val="00B40D29"/>
    <w:rsid w:val="00B41171"/>
    <w:rsid w:val="00B41758"/>
    <w:rsid w:val="00B41C5D"/>
    <w:rsid w:val="00B422E6"/>
    <w:rsid w:val="00B4257C"/>
    <w:rsid w:val="00B4265B"/>
    <w:rsid w:val="00B42767"/>
    <w:rsid w:val="00B42A9D"/>
    <w:rsid w:val="00B43202"/>
    <w:rsid w:val="00B4376A"/>
    <w:rsid w:val="00B43E26"/>
    <w:rsid w:val="00B4405D"/>
    <w:rsid w:val="00B442DE"/>
    <w:rsid w:val="00B4551E"/>
    <w:rsid w:val="00B456EB"/>
    <w:rsid w:val="00B457D5"/>
    <w:rsid w:val="00B459CC"/>
    <w:rsid w:val="00B4609C"/>
    <w:rsid w:val="00B4686B"/>
    <w:rsid w:val="00B476F5"/>
    <w:rsid w:val="00B4798D"/>
    <w:rsid w:val="00B50E25"/>
    <w:rsid w:val="00B50ED2"/>
    <w:rsid w:val="00B50F51"/>
    <w:rsid w:val="00B51657"/>
    <w:rsid w:val="00B52183"/>
    <w:rsid w:val="00B52336"/>
    <w:rsid w:val="00B52392"/>
    <w:rsid w:val="00B52FD6"/>
    <w:rsid w:val="00B534F0"/>
    <w:rsid w:val="00B5384A"/>
    <w:rsid w:val="00B538EA"/>
    <w:rsid w:val="00B53AFD"/>
    <w:rsid w:val="00B55CBA"/>
    <w:rsid w:val="00B55E68"/>
    <w:rsid w:val="00B56609"/>
    <w:rsid w:val="00B56831"/>
    <w:rsid w:val="00B56B14"/>
    <w:rsid w:val="00B5707A"/>
    <w:rsid w:val="00B57B9E"/>
    <w:rsid w:val="00B604D6"/>
    <w:rsid w:val="00B60F1E"/>
    <w:rsid w:val="00B61086"/>
    <w:rsid w:val="00B61BA4"/>
    <w:rsid w:val="00B61DB6"/>
    <w:rsid w:val="00B64B8B"/>
    <w:rsid w:val="00B6541C"/>
    <w:rsid w:val="00B656B7"/>
    <w:rsid w:val="00B65DF0"/>
    <w:rsid w:val="00B65E1C"/>
    <w:rsid w:val="00B6662E"/>
    <w:rsid w:val="00B66C95"/>
    <w:rsid w:val="00B671C2"/>
    <w:rsid w:val="00B67720"/>
    <w:rsid w:val="00B67830"/>
    <w:rsid w:val="00B678C0"/>
    <w:rsid w:val="00B70EF2"/>
    <w:rsid w:val="00B7243B"/>
    <w:rsid w:val="00B7284C"/>
    <w:rsid w:val="00B728AD"/>
    <w:rsid w:val="00B729CA"/>
    <w:rsid w:val="00B72A51"/>
    <w:rsid w:val="00B73573"/>
    <w:rsid w:val="00B74169"/>
    <w:rsid w:val="00B75896"/>
    <w:rsid w:val="00B77357"/>
    <w:rsid w:val="00B77428"/>
    <w:rsid w:val="00B77AB1"/>
    <w:rsid w:val="00B810AC"/>
    <w:rsid w:val="00B81582"/>
    <w:rsid w:val="00B8337C"/>
    <w:rsid w:val="00B8340C"/>
    <w:rsid w:val="00B867D6"/>
    <w:rsid w:val="00B86893"/>
    <w:rsid w:val="00B86AD4"/>
    <w:rsid w:val="00B86B58"/>
    <w:rsid w:val="00B86F82"/>
    <w:rsid w:val="00B876C0"/>
    <w:rsid w:val="00B87D6F"/>
    <w:rsid w:val="00B90954"/>
    <w:rsid w:val="00B91A57"/>
    <w:rsid w:val="00B92372"/>
    <w:rsid w:val="00B924CC"/>
    <w:rsid w:val="00B92937"/>
    <w:rsid w:val="00B92FC7"/>
    <w:rsid w:val="00B9350F"/>
    <w:rsid w:val="00B94AE4"/>
    <w:rsid w:val="00B95083"/>
    <w:rsid w:val="00B95BCC"/>
    <w:rsid w:val="00B95C75"/>
    <w:rsid w:val="00B96B8F"/>
    <w:rsid w:val="00B96D8B"/>
    <w:rsid w:val="00B97592"/>
    <w:rsid w:val="00B97FA5"/>
    <w:rsid w:val="00BA1C70"/>
    <w:rsid w:val="00BA2548"/>
    <w:rsid w:val="00BA257B"/>
    <w:rsid w:val="00BA4230"/>
    <w:rsid w:val="00BA4358"/>
    <w:rsid w:val="00BA49FB"/>
    <w:rsid w:val="00BA4DA0"/>
    <w:rsid w:val="00BA5753"/>
    <w:rsid w:val="00BA5F9B"/>
    <w:rsid w:val="00BA61DF"/>
    <w:rsid w:val="00BA62D4"/>
    <w:rsid w:val="00BA7376"/>
    <w:rsid w:val="00BA7724"/>
    <w:rsid w:val="00BA7993"/>
    <w:rsid w:val="00BB0D55"/>
    <w:rsid w:val="00BB176F"/>
    <w:rsid w:val="00BB1A95"/>
    <w:rsid w:val="00BB1F8F"/>
    <w:rsid w:val="00BB28E6"/>
    <w:rsid w:val="00BB2946"/>
    <w:rsid w:val="00BB2CD2"/>
    <w:rsid w:val="00BB3413"/>
    <w:rsid w:val="00BB3CDB"/>
    <w:rsid w:val="00BB3F38"/>
    <w:rsid w:val="00BB547E"/>
    <w:rsid w:val="00BB5EA2"/>
    <w:rsid w:val="00BB6C07"/>
    <w:rsid w:val="00BB715B"/>
    <w:rsid w:val="00BB7DDA"/>
    <w:rsid w:val="00BC112F"/>
    <w:rsid w:val="00BC34D1"/>
    <w:rsid w:val="00BC37F9"/>
    <w:rsid w:val="00BC39F0"/>
    <w:rsid w:val="00BC4702"/>
    <w:rsid w:val="00BC4E37"/>
    <w:rsid w:val="00BC50BF"/>
    <w:rsid w:val="00BC62DA"/>
    <w:rsid w:val="00BC65F5"/>
    <w:rsid w:val="00BC7234"/>
    <w:rsid w:val="00BC7B5C"/>
    <w:rsid w:val="00BC7F41"/>
    <w:rsid w:val="00BD012D"/>
    <w:rsid w:val="00BD1817"/>
    <w:rsid w:val="00BD1DC0"/>
    <w:rsid w:val="00BD2129"/>
    <w:rsid w:val="00BD28AF"/>
    <w:rsid w:val="00BD2A35"/>
    <w:rsid w:val="00BD35DF"/>
    <w:rsid w:val="00BD3C22"/>
    <w:rsid w:val="00BD3D5F"/>
    <w:rsid w:val="00BD4973"/>
    <w:rsid w:val="00BD5595"/>
    <w:rsid w:val="00BD5979"/>
    <w:rsid w:val="00BD5DAD"/>
    <w:rsid w:val="00BD5FCE"/>
    <w:rsid w:val="00BE0282"/>
    <w:rsid w:val="00BE0E92"/>
    <w:rsid w:val="00BE1039"/>
    <w:rsid w:val="00BE113B"/>
    <w:rsid w:val="00BE14FB"/>
    <w:rsid w:val="00BE1BB0"/>
    <w:rsid w:val="00BE1D7B"/>
    <w:rsid w:val="00BE31BC"/>
    <w:rsid w:val="00BE366C"/>
    <w:rsid w:val="00BE4D23"/>
    <w:rsid w:val="00BE5294"/>
    <w:rsid w:val="00BE6900"/>
    <w:rsid w:val="00BE6E35"/>
    <w:rsid w:val="00BE7D18"/>
    <w:rsid w:val="00BF01AD"/>
    <w:rsid w:val="00BF073C"/>
    <w:rsid w:val="00BF1ACC"/>
    <w:rsid w:val="00BF277F"/>
    <w:rsid w:val="00BF280E"/>
    <w:rsid w:val="00BF2E75"/>
    <w:rsid w:val="00BF2FB4"/>
    <w:rsid w:val="00BF378F"/>
    <w:rsid w:val="00BF3DB0"/>
    <w:rsid w:val="00BF4834"/>
    <w:rsid w:val="00BF5D02"/>
    <w:rsid w:val="00BF5FFC"/>
    <w:rsid w:val="00BF65E6"/>
    <w:rsid w:val="00BF668F"/>
    <w:rsid w:val="00BF7325"/>
    <w:rsid w:val="00BF74B6"/>
    <w:rsid w:val="00BF784C"/>
    <w:rsid w:val="00BF7A13"/>
    <w:rsid w:val="00C00509"/>
    <w:rsid w:val="00C019E6"/>
    <w:rsid w:val="00C03A64"/>
    <w:rsid w:val="00C0506C"/>
    <w:rsid w:val="00C057FE"/>
    <w:rsid w:val="00C06C3E"/>
    <w:rsid w:val="00C06F1F"/>
    <w:rsid w:val="00C07457"/>
    <w:rsid w:val="00C10359"/>
    <w:rsid w:val="00C103B2"/>
    <w:rsid w:val="00C105FE"/>
    <w:rsid w:val="00C10DEB"/>
    <w:rsid w:val="00C123DC"/>
    <w:rsid w:val="00C13886"/>
    <w:rsid w:val="00C13D40"/>
    <w:rsid w:val="00C13F9A"/>
    <w:rsid w:val="00C14C39"/>
    <w:rsid w:val="00C15C3E"/>
    <w:rsid w:val="00C15F11"/>
    <w:rsid w:val="00C16B7A"/>
    <w:rsid w:val="00C176BA"/>
    <w:rsid w:val="00C17D57"/>
    <w:rsid w:val="00C17DE4"/>
    <w:rsid w:val="00C17F2F"/>
    <w:rsid w:val="00C200E8"/>
    <w:rsid w:val="00C203A1"/>
    <w:rsid w:val="00C20C52"/>
    <w:rsid w:val="00C20CD4"/>
    <w:rsid w:val="00C20E24"/>
    <w:rsid w:val="00C21138"/>
    <w:rsid w:val="00C2140B"/>
    <w:rsid w:val="00C22238"/>
    <w:rsid w:val="00C23573"/>
    <w:rsid w:val="00C23F60"/>
    <w:rsid w:val="00C240B3"/>
    <w:rsid w:val="00C26630"/>
    <w:rsid w:val="00C277CE"/>
    <w:rsid w:val="00C27FAB"/>
    <w:rsid w:val="00C30000"/>
    <w:rsid w:val="00C30C0E"/>
    <w:rsid w:val="00C30EC9"/>
    <w:rsid w:val="00C30F0C"/>
    <w:rsid w:val="00C31211"/>
    <w:rsid w:val="00C31D83"/>
    <w:rsid w:val="00C32BFA"/>
    <w:rsid w:val="00C33123"/>
    <w:rsid w:val="00C33875"/>
    <w:rsid w:val="00C34096"/>
    <w:rsid w:val="00C34750"/>
    <w:rsid w:val="00C368FB"/>
    <w:rsid w:val="00C36CCD"/>
    <w:rsid w:val="00C376D1"/>
    <w:rsid w:val="00C37B98"/>
    <w:rsid w:val="00C37F34"/>
    <w:rsid w:val="00C41A91"/>
    <w:rsid w:val="00C41DC2"/>
    <w:rsid w:val="00C42F3F"/>
    <w:rsid w:val="00C43924"/>
    <w:rsid w:val="00C43D1E"/>
    <w:rsid w:val="00C4402C"/>
    <w:rsid w:val="00C44625"/>
    <w:rsid w:val="00C45AF9"/>
    <w:rsid w:val="00C45E2E"/>
    <w:rsid w:val="00C46160"/>
    <w:rsid w:val="00C46B9D"/>
    <w:rsid w:val="00C46F9D"/>
    <w:rsid w:val="00C475A9"/>
    <w:rsid w:val="00C47A3F"/>
    <w:rsid w:val="00C503F2"/>
    <w:rsid w:val="00C51B41"/>
    <w:rsid w:val="00C51D2D"/>
    <w:rsid w:val="00C522E0"/>
    <w:rsid w:val="00C52707"/>
    <w:rsid w:val="00C527F3"/>
    <w:rsid w:val="00C5360B"/>
    <w:rsid w:val="00C53DFE"/>
    <w:rsid w:val="00C549FA"/>
    <w:rsid w:val="00C55AB3"/>
    <w:rsid w:val="00C55AFD"/>
    <w:rsid w:val="00C56588"/>
    <w:rsid w:val="00C56AB5"/>
    <w:rsid w:val="00C60AC9"/>
    <w:rsid w:val="00C60BF1"/>
    <w:rsid w:val="00C60EA3"/>
    <w:rsid w:val="00C615F5"/>
    <w:rsid w:val="00C617AF"/>
    <w:rsid w:val="00C6357B"/>
    <w:rsid w:val="00C63F50"/>
    <w:rsid w:val="00C64EB0"/>
    <w:rsid w:val="00C66BC6"/>
    <w:rsid w:val="00C67D1D"/>
    <w:rsid w:val="00C67DAF"/>
    <w:rsid w:val="00C67EFE"/>
    <w:rsid w:val="00C70AB0"/>
    <w:rsid w:val="00C71E9D"/>
    <w:rsid w:val="00C72342"/>
    <w:rsid w:val="00C7246B"/>
    <w:rsid w:val="00C72914"/>
    <w:rsid w:val="00C72F7B"/>
    <w:rsid w:val="00C73419"/>
    <w:rsid w:val="00C73D06"/>
    <w:rsid w:val="00C740A7"/>
    <w:rsid w:val="00C7423E"/>
    <w:rsid w:val="00C74CD0"/>
    <w:rsid w:val="00C75864"/>
    <w:rsid w:val="00C75897"/>
    <w:rsid w:val="00C76554"/>
    <w:rsid w:val="00C76947"/>
    <w:rsid w:val="00C76C7F"/>
    <w:rsid w:val="00C7700A"/>
    <w:rsid w:val="00C77332"/>
    <w:rsid w:val="00C77522"/>
    <w:rsid w:val="00C81550"/>
    <w:rsid w:val="00C81596"/>
    <w:rsid w:val="00C81CC2"/>
    <w:rsid w:val="00C82608"/>
    <w:rsid w:val="00C82F36"/>
    <w:rsid w:val="00C859FD"/>
    <w:rsid w:val="00C87549"/>
    <w:rsid w:val="00C87B2A"/>
    <w:rsid w:val="00C87BBC"/>
    <w:rsid w:val="00C9037D"/>
    <w:rsid w:val="00C909E0"/>
    <w:rsid w:val="00C91353"/>
    <w:rsid w:val="00C91EB8"/>
    <w:rsid w:val="00C921CE"/>
    <w:rsid w:val="00C92786"/>
    <w:rsid w:val="00C9281E"/>
    <w:rsid w:val="00C93A37"/>
    <w:rsid w:val="00C93FD0"/>
    <w:rsid w:val="00C943FD"/>
    <w:rsid w:val="00C94C27"/>
    <w:rsid w:val="00C95353"/>
    <w:rsid w:val="00C95616"/>
    <w:rsid w:val="00C95A2B"/>
    <w:rsid w:val="00C968C2"/>
    <w:rsid w:val="00C96D82"/>
    <w:rsid w:val="00C97852"/>
    <w:rsid w:val="00CA0961"/>
    <w:rsid w:val="00CA121C"/>
    <w:rsid w:val="00CA12B9"/>
    <w:rsid w:val="00CA1669"/>
    <w:rsid w:val="00CA1949"/>
    <w:rsid w:val="00CA21CC"/>
    <w:rsid w:val="00CA30E7"/>
    <w:rsid w:val="00CA37D7"/>
    <w:rsid w:val="00CA37E3"/>
    <w:rsid w:val="00CA4B53"/>
    <w:rsid w:val="00CA4BDD"/>
    <w:rsid w:val="00CA4C06"/>
    <w:rsid w:val="00CA5612"/>
    <w:rsid w:val="00CA561C"/>
    <w:rsid w:val="00CA57D1"/>
    <w:rsid w:val="00CA5F25"/>
    <w:rsid w:val="00CA5F6A"/>
    <w:rsid w:val="00CA6175"/>
    <w:rsid w:val="00CA717C"/>
    <w:rsid w:val="00CA7FB6"/>
    <w:rsid w:val="00CB13B0"/>
    <w:rsid w:val="00CB17C8"/>
    <w:rsid w:val="00CB1DA9"/>
    <w:rsid w:val="00CB2213"/>
    <w:rsid w:val="00CB2FE8"/>
    <w:rsid w:val="00CB40EF"/>
    <w:rsid w:val="00CB4B4E"/>
    <w:rsid w:val="00CB5758"/>
    <w:rsid w:val="00CB5AAF"/>
    <w:rsid w:val="00CB68BE"/>
    <w:rsid w:val="00CB731A"/>
    <w:rsid w:val="00CC0AEE"/>
    <w:rsid w:val="00CC0B14"/>
    <w:rsid w:val="00CC0BA1"/>
    <w:rsid w:val="00CC0FAC"/>
    <w:rsid w:val="00CC179E"/>
    <w:rsid w:val="00CC1F4E"/>
    <w:rsid w:val="00CC2358"/>
    <w:rsid w:val="00CC2BAB"/>
    <w:rsid w:val="00CC2E52"/>
    <w:rsid w:val="00CC31E8"/>
    <w:rsid w:val="00CC33D9"/>
    <w:rsid w:val="00CC343D"/>
    <w:rsid w:val="00CC3E0B"/>
    <w:rsid w:val="00CC472D"/>
    <w:rsid w:val="00CC4869"/>
    <w:rsid w:val="00CC4B46"/>
    <w:rsid w:val="00CC4CBF"/>
    <w:rsid w:val="00CC59E2"/>
    <w:rsid w:val="00CC64B6"/>
    <w:rsid w:val="00CC720F"/>
    <w:rsid w:val="00CC7695"/>
    <w:rsid w:val="00CC76BD"/>
    <w:rsid w:val="00CD048E"/>
    <w:rsid w:val="00CD0ABE"/>
    <w:rsid w:val="00CD0AE8"/>
    <w:rsid w:val="00CD1039"/>
    <w:rsid w:val="00CD1432"/>
    <w:rsid w:val="00CD1481"/>
    <w:rsid w:val="00CD1FBD"/>
    <w:rsid w:val="00CD2056"/>
    <w:rsid w:val="00CD22F3"/>
    <w:rsid w:val="00CD2851"/>
    <w:rsid w:val="00CD2D5A"/>
    <w:rsid w:val="00CD311F"/>
    <w:rsid w:val="00CD33FE"/>
    <w:rsid w:val="00CD3691"/>
    <w:rsid w:val="00CD388F"/>
    <w:rsid w:val="00CD4294"/>
    <w:rsid w:val="00CD59B9"/>
    <w:rsid w:val="00CE2119"/>
    <w:rsid w:val="00CE2556"/>
    <w:rsid w:val="00CE394E"/>
    <w:rsid w:val="00CE428A"/>
    <w:rsid w:val="00CE46D4"/>
    <w:rsid w:val="00CE50E2"/>
    <w:rsid w:val="00CE57FC"/>
    <w:rsid w:val="00CE59B8"/>
    <w:rsid w:val="00CE5C5F"/>
    <w:rsid w:val="00CE76A5"/>
    <w:rsid w:val="00CE7FA6"/>
    <w:rsid w:val="00CF026D"/>
    <w:rsid w:val="00CF101B"/>
    <w:rsid w:val="00CF3095"/>
    <w:rsid w:val="00CF3832"/>
    <w:rsid w:val="00CF38A4"/>
    <w:rsid w:val="00CF3F40"/>
    <w:rsid w:val="00CF4181"/>
    <w:rsid w:val="00CF4FAF"/>
    <w:rsid w:val="00CF580F"/>
    <w:rsid w:val="00CF7F34"/>
    <w:rsid w:val="00D0051E"/>
    <w:rsid w:val="00D00C85"/>
    <w:rsid w:val="00D01B40"/>
    <w:rsid w:val="00D02589"/>
    <w:rsid w:val="00D02CB0"/>
    <w:rsid w:val="00D0538A"/>
    <w:rsid w:val="00D05C87"/>
    <w:rsid w:val="00D05F04"/>
    <w:rsid w:val="00D07276"/>
    <w:rsid w:val="00D0731B"/>
    <w:rsid w:val="00D1029A"/>
    <w:rsid w:val="00D116CA"/>
    <w:rsid w:val="00D116F4"/>
    <w:rsid w:val="00D11A75"/>
    <w:rsid w:val="00D11DA5"/>
    <w:rsid w:val="00D13B75"/>
    <w:rsid w:val="00D13E83"/>
    <w:rsid w:val="00D140CB"/>
    <w:rsid w:val="00D15973"/>
    <w:rsid w:val="00D160BC"/>
    <w:rsid w:val="00D1734D"/>
    <w:rsid w:val="00D20447"/>
    <w:rsid w:val="00D21D41"/>
    <w:rsid w:val="00D21E43"/>
    <w:rsid w:val="00D22946"/>
    <w:rsid w:val="00D24455"/>
    <w:rsid w:val="00D2485B"/>
    <w:rsid w:val="00D24CE7"/>
    <w:rsid w:val="00D24D18"/>
    <w:rsid w:val="00D24ED3"/>
    <w:rsid w:val="00D254E7"/>
    <w:rsid w:val="00D2699E"/>
    <w:rsid w:val="00D26B0D"/>
    <w:rsid w:val="00D27381"/>
    <w:rsid w:val="00D279C5"/>
    <w:rsid w:val="00D31874"/>
    <w:rsid w:val="00D31C05"/>
    <w:rsid w:val="00D31CE2"/>
    <w:rsid w:val="00D32851"/>
    <w:rsid w:val="00D3323A"/>
    <w:rsid w:val="00D33918"/>
    <w:rsid w:val="00D343A0"/>
    <w:rsid w:val="00D3486C"/>
    <w:rsid w:val="00D3493D"/>
    <w:rsid w:val="00D34BCE"/>
    <w:rsid w:val="00D34CD3"/>
    <w:rsid w:val="00D35242"/>
    <w:rsid w:val="00D356B4"/>
    <w:rsid w:val="00D367C5"/>
    <w:rsid w:val="00D40364"/>
    <w:rsid w:val="00D409FA"/>
    <w:rsid w:val="00D40B7B"/>
    <w:rsid w:val="00D40FFE"/>
    <w:rsid w:val="00D42865"/>
    <w:rsid w:val="00D42BCC"/>
    <w:rsid w:val="00D430B3"/>
    <w:rsid w:val="00D4348A"/>
    <w:rsid w:val="00D43E7D"/>
    <w:rsid w:val="00D478FF"/>
    <w:rsid w:val="00D47A3E"/>
    <w:rsid w:val="00D5007E"/>
    <w:rsid w:val="00D50D61"/>
    <w:rsid w:val="00D50E09"/>
    <w:rsid w:val="00D50F38"/>
    <w:rsid w:val="00D522E9"/>
    <w:rsid w:val="00D52BB9"/>
    <w:rsid w:val="00D535D5"/>
    <w:rsid w:val="00D549FA"/>
    <w:rsid w:val="00D54E28"/>
    <w:rsid w:val="00D556DF"/>
    <w:rsid w:val="00D55C28"/>
    <w:rsid w:val="00D56379"/>
    <w:rsid w:val="00D56430"/>
    <w:rsid w:val="00D569EE"/>
    <w:rsid w:val="00D56BC3"/>
    <w:rsid w:val="00D6071B"/>
    <w:rsid w:val="00D61777"/>
    <w:rsid w:val="00D61FBF"/>
    <w:rsid w:val="00D62A65"/>
    <w:rsid w:val="00D6306A"/>
    <w:rsid w:val="00D64302"/>
    <w:rsid w:val="00D64F28"/>
    <w:rsid w:val="00D64F29"/>
    <w:rsid w:val="00D65498"/>
    <w:rsid w:val="00D659EC"/>
    <w:rsid w:val="00D65E96"/>
    <w:rsid w:val="00D66722"/>
    <w:rsid w:val="00D66E80"/>
    <w:rsid w:val="00D671A7"/>
    <w:rsid w:val="00D67754"/>
    <w:rsid w:val="00D678A8"/>
    <w:rsid w:val="00D700F5"/>
    <w:rsid w:val="00D704E5"/>
    <w:rsid w:val="00D705C6"/>
    <w:rsid w:val="00D705F5"/>
    <w:rsid w:val="00D70D78"/>
    <w:rsid w:val="00D710DC"/>
    <w:rsid w:val="00D722D2"/>
    <w:rsid w:val="00D72F59"/>
    <w:rsid w:val="00D736B4"/>
    <w:rsid w:val="00D73D29"/>
    <w:rsid w:val="00D742A3"/>
    <w:rsid w:val="00D753AC"/>
    <w:rsid w:val="00D755E1"/>
    <w:rsid w:val="00D75EF2"/>
    <w:rsid w:val="00D76714"/>
    <w:rsid w:val="00D77630"/>
    <w:rsid w:val="00D805BA"/>
    <w:rsid w:val="00D80BDC"/>
    <w:rsid w:val="00D81444"/>
    <w:rsid w:val="00D81D3A"/>
    <w:rsid w:val="00D82212"/>
    <w:rsid w:val="00D82B09"/>
    <w:rsid w:val="00D83C76"/>
    <w:rsid w:val="00D843E4"/>
    <w:rsid w:val="00D84A93"/>
    <w:rsid w:val="00D8670C"/>
    <w:rsid w:val="00D86862"/>
    <w:rsid w:val="00D8703C"/>
    <w:rsid w:val="00D87E6F"/>
    <w:rsid w:val="00D92AE8"/>
    <w:rsid w:val="00D9303B"/>
    <w:rsid w:val="00D9398A"/>
    <w:rsid w:val="00D93BEC"/>
    <w:rsid w:val="00D93E08"/>
    <w:rsid w:val="00D94493"/>
    <w:rsid w:val="00D94C37"/>
    <w:rsid w:val="00D94D8E"/>
    <w:rsid w:val="00D956DB"/>
    <w:rsid w:val="00D9586A"/>
    <w:rsid w:val="00D960DA"/>
    <w:rsid w:val="00D9694F"/>
    <w:rsid w:val="00DA06AB"/>
    <w:rsid w:val="00DA1685"/>
    <w:rsid w:val="00DA1B5C"/>
    <w:rsid w:val="00DA2771"/>
    <w:rsid w:val="00DA30ED"/>
    <w:rsid w:val="00DA332A"/>
    <w:rsid w:val="00DA52A5"/>
    <w:rsid w:val="00DA52B0"/>
    <w:rsid w:val="00DA5540"/>
    <w:rsid w:val="00DA69A8"/>
    <w:rsid w:val="00DA7424"/>
    <w:rsid w:val="00DA754F"/>
    <w:rsid w:val="00DA7B04"/>
    <w:rsid w:val="00DB119E"/>
    <w:rsid w:val="00DB1388"/>
    <w:rsid w:val="00DB20C5"/>
    <w:rsid w:val="00DB2BEB"/>
    <w:rsid w:val="00DB2E21"/>
    <w:rsid w:val="00DB3843"/>
    <w:rsid w:val="00DB3FAB"/>
    <w:rsid w:val="00DB4908"/>
    <w:rsid w:val="00DB5088"/>
    <w:rsid w:val="00DB52E4"/>
    <w:rsid w:val="00DB555B"/>
    <w:rsid w:val="00DB5717"/>
    <w:rsid w:val="00DB60A8"/>
    <w:rsid w:val="00DB665A"/>
    <w:rsid w:val="00DB763F"/>
    <w:rsid w:val="00DB7D00"/>
    <w:rsid w:val="00DC0C15"/>
    <w:rsid w:val="00DC1347"/>
    <w:rsid w:val="00DC2142"/>
    <w:rsid w:val="00DC2777"/>
    <w:rsid w:val="00DC3789"/>
    <w:rsid w:val="00DC3B3A"/>
    <w:rsid w:val="00DC5CCA"/>
    <w:rsid w:val="00DC5D82"/>
    <w:rsid w:val="00DC62CA"/>
    <w:rsid w:val="00DC650C"/>
    <w:rsid w:val="00DC66EB"/>
    <w:rsid w:val="00DC716C"/>
    <w:rsid w:val="00DC7867"/>
    <w:rsid w:val="00DC7B2A"/>
    <w:rsid w:val="00DC7BB9"/>
    <w:rsid w:val="00DD01B6"/>
    <w:rsid w:val="00DD0201"/>
    <w:rsid w:val="00DD085E"/>
    <w:rsid w:val="00DD0943"/>
    <w:rsid w:val="00DD0BC9"/>
    <w:rsid w:val="00DD0EBE"/>
    <w:rsid w:val="00DD1E16"/>
    <w:rsid w:val="00DD268C"/>
    <w:rsid w:val="00DD2B40"/>
    <w:rsid w:val="00DD3150"/>
    <w:rsid w:val="00DD464A"/>
    <w:rsid w:val="00DD4680"/>
    <w:rsid w:val="00DD5205"/>
    <w:rsid w:val="00DD53EB"/>
    <w:rsid w:val="00DD54AD"/>
    <w:rsid w:val="00DD57E0"/>
    <w:rsid w:val="00DD5DA4"/>
    <w:rsid w:val="00DD6441"/>
    <w:rsid w:val="00DD70F0"/>
    <w:rsid w:val="00DD71E3"/>
    <w:rsid w:val="00DD7376"/>
    <w:rsid w:val="00DD7AAC"/>
    <w:rsid w:val="00DE2BD8"/>
    <w:rsid w:val="00DE2F44"/>
    <w:rsid w:val="00DE34A1"/>
    <w:rsid w:val="00DE3D8A"/>
    <w:rsid w:val="00DE52A8"/>
    <w:rsid w:val="00DE57E2"/>
    <w:rsid w:val="00DE58B0"/>
    <w:rsid w:val="00DE5D2B"/>
    <w:rsid w:val="00DE6006"/>
    <w:rsid w:val="00DE634C"/>
    <w:rsid w:val="00DE6470"/>
    <w:rsid w:val="00DF0609"/>
    <w:rsid w:val="00DF0692"/>
    <w:rsid w:val="00DF0812"/>
    <w:rsid w:val="00DF0D3A"/>
    <w:rsid w:val="00DF0FD5"/>
    <w:rsid w:val="00DF1529"/>
    <w:rsid w:val="00DF18BE"/>
    <w:rsid w:val="00DF1E9A"/>
    <w:rsid w:val="00DF1FC8"/>
    <w:rsid w:val="00DF2236"/>
    <w:rsid w:val="00DF2654"/>
    <w:rsid w:val="00DF31FD"/>
    <w:rsid w:val="00DF44CC"/>
    <w:rsid w:val="00DF45F8"/>
    <w:rsid w:val="00DF5184"/>
    <w:rsid w:val="00DF61C5"/>
    <w:rsid w:val="00DF6BE9"/>
    <w:rsid w:val="00DF6BFE"/>
    <w:rsid w:val="00DF70DA"/>
    <w:rsid w:val="00DF73C4"/>
    <w:rsid w:val="00DF76C4"/>
    <w:rsid w:val="00E00DF1"/>
    <w:rsid w:val="00E01046"/>
    <w:rsid w:val="00E02AD8"/>
    <w:rsid w:val="00E03438"/>
    <w:rsid w:val="00E03FB6"/>
    <w:rsid w:val="00E04201"/>
    <w:rsid w:val="00E04A13"/>
    <w:rsid w:val="00E04B0B"/>
    <w:rsid w:val="00E06201"/>
    <w:rsid w:val="00E0656B"/>
    <w:rsid w:val="00E0667A"/>
    <w:rsid w:val="00E070D7"/>
    <w:rsid w:val="00E0756E"/>
    <w:rsid w:val="00E11089"/>
    <w:rsid w:val="00E113FF"/>
    <w:rsid w:val="00E1186A"/>
    <w:rsid w:val="00E12AC6"/>
    <w:rsid w:val="00E1348D"/>
    <w:rsid w:val="00E13520"/>
    <w:rsid w:val="00E14062"/>
    <w:rsid w:val="00E14663"/>
    <w:rsid w:val="00E14CCA"/>
    <w:rsid w:val="00E14D6F"/>
    <w:rsid w:val="00E1511C"/>
    <w:rsid w:val="00E15479"/>
    <w:rsid w:val="00E156EE"/>
    <w:rsid w:val="00E16157"/>
    <w:rsid w:val="00E173AD"/>
    <w:rsid w:val="00E1788C"/>
    <w:rsid w:val="00E210AB"/>
    <w:rsid w:val="00E216D3"/>
    <w:rsid w:val="00E21BFF"/>
    <w:rsid w:val="00E22DC9"/>
    <w:rsid w:val="00E22EEF"/>
    <w:rsid w:val="00E23CC3"/>
    <w:rsid w:val="00E2444D"/>
    <w:rsid w:val="00E25627"/>
    <w:rsid w:val="00E2577D"/>
    <w:rsid w:val="00E25D80"/>
    <w:rsid w:val="00E26372"/>
    <w:rsid w:val="00E26A4F"/>
    <w:rsid w:val="00E2719C"/>
    <w:rsid w:val="00E277FD"/>
    <w:rsid w:val="00E31443"/>
    <w:rsid w:val="00E31B0F"/>
    <w:rsid w:val="00E321B3"/>
    <w:rsid w:val="00E3232D"/>
    <w:rsid w:val="00E3251F"/>
    <w:rsid w:val="00E32608"/>
    <w:rsid w:val="00E327D0"/>
    <w:rsid w:val="00E32FDD"/>
    <w:rsid w:val="00E33139"/>
    <w:rsid w:val="00E337EB"/>
    <w:rsid w:val="00E3381F"/>
    <w:rsid w:val="00E339FE"/>
    <w:rsid w:val="00E33E9A"/>
    <w:rsid w:val="00E34D48"/>
    <w:rsid w:val="00E34EDD"/>
    <w:rsid w:val="00E3513F"/>
    <w:rsid w:val="00E36B48"/>
    <w:rsid w:val="00E37295"/>
    <w:rsid w:val="00E373F7"/>
    <w:rsid w:val="00E37F39"/>
    <w:rsid w:val="00E40F06"/>
    <w:rsid w:val="00E4134B"/>
    <w:rsid w:val="00E417D3"/>
    <w:rsid w:val="00E41F9F"/>
    <w:rsid w:val="00E420C9"/>
    <w:rsid w:val="00E42930"/>
    <w:rsid w:val="00E43254"/>
    <w:rsid w:val="00E447CC"/>
    <w:rsid w:val="00E44C55"/>
    <w:rsid w:val="00E4551F"/>
    <w:rsid w:val="00E4561D"/>
    <w:rsid w:val="00E465E4"/>
    <w:rsid w:val="00E46A22"/>
    <w:rsid w:val="00E47CA8"/>
    <w:rsid w:val="00E511A6"/>
    <w:rsid w:val="00E51A8D"/>
    <w:rsid w:val="00E55A6C"/>
    <w:rsid w:val="00E55D82"/>
    <w:rsid w:val="00E561FB"/>
    <w:rsid w:val="00E569F5"/>
    <w:rsid w:val="00E5737D"/>
    <w:rsid w:val="00E60669"/>
    <w:rsid w:val="00E60839"/>
    <w:rsid w:val="00E608D5"/>
    <w:rsid w:val="00E60BFB"/>
    <w:rsid w:val="00E60E73"/>
    <w:rsid w:val="00E612DE"/>
    <w:rsid w:val="00E613EC"/>
    <w:rsid w:val="00E61C74"/>
    <w:rsid w:val="00E63EE0"/>
    <w:rsid w:val="00E63F40"/>
    <w:rsid w:val="00E64A8B"/>
    <w:rsid w:val="00E657EB"/>
    <w:rsid w:val="00E65E93"/>
    <w:rsid w:val="00E660D1"/>
    <w:rsid w:val="00E7022B"/>
    <w:rsid w:val="00E7085B"/>
    <w:rsid w:val="00E70B62"/>
    <w:rsid w:val="00E71C83"/>
    <w:rsid w:val="00E734D1"/>
    <w:rsid w:val="00E73D4C"/>
    <w:rsid w:val="00E73EF5"/>
    <w:rsid w:val="00E74151"/>
    <w:rsid w:val="00E742D0"/>
    <w:rsid w:val="00E7785F"/>
    <w:rsid w:val="00E8026C"/>
    <w:rsid w:val="00E80740"/>
    <w:rsid w:val="00E810D7"/>
    <w:rsid w:val="00E817D1"/>
    <w:rsid w:val="00E81C41"/>
    <w:rsid w:val="00E81DFE"/>
    <w:rsid w:val="00E8339C"/>
    <w:rsid w:val="00E84B0E"/>
    <w:rsid w:val="00E85253"/>
    <w:rsid w:val="00E858FB"/>
    <w:rsid w:val="00E85A3D"/>
    <w:rsid w:val="00E86805"/>
    <w:rsid w:val="00E86F2D"/>
    <w:rsid w:val="00E86FE2"/>
    <w:rsid w:val="00E87B52"/>
    <w:rsid w:val="00E90991"/>
    <w:rsid w:val="00E90F19"/>
    <w:rsid w:val="00E928C7"/>
    <w:rsid w:val="00E93B26"/>
    <w:rsid w:val="00E94359"/>
    <w:rsid w:val="00E94AAC"/>
    <w:rsid w:val="00E94C79"/>
    <w:rsid w:val="00E94DA3"/>
    <w:rsid w:val="00E9674B"/>
    <w:rsid w:val="00E96856"/>
    <w:rsid w:val="00E9722F"/>
    <w:rsid w:val="00E973CB"/>
    <w:rsid w:val="00E97AB5"/>
    <w:rsid w:val="00E97DC5"/>
    <w:rsid w:val="00EA1DF3"/>
    <w:rsid w:val="00EA2188"/>
    <w:rsid w:val="00EA233D"/>
    <w:rsid w:val="00EA2CE5"/>
    <w:rsid w:val="00EA2EC3"/>
    <w:rsid w:val="00EA3924"/>
    <w:rsid w:val="00EA411C"/>
    <w:rsid w:val="00EA63CA"/>
    <w:rsid w:val="00EA7380"/>
    <w:rsid w:val="00EA7BEA"/>
    <w:rsid w:val="00EB0844"/>
    <w:rsid w:val="00EB0AA8"/>
    <w:rsid w:val="00EB0B49"/>
    <w:rsid w:val="00EB0EED"/>
    <w:rsid w:val="00EB4764"/>
    <w:rsid w:val="00EB4957"/>
    <w:rsid w:val="00EB5093"/>
    <w:rsid w:val="00EB50C4"/>
    <w:rsid w:val="00EB5E52"/>
    <w:rsid w:val="00EB6147"/>
    <w:rsid w:val="00EB6C68"/>
    <w:rsid w:val="00EB77D0"/>
    <w:rsid w:val="00EB7858"/>
    <w:rsid w:val="00EC1502"/>
    <w:rsid w:val="00EC1AC0"/>
    <w:rsid w:val="00EC263A"/>
    <w:rsid w:val="00EC2F9E"/>
    <w:rsid w:val="00EC36B6"/>
    <w:rsid w:val="00EC387A"/>
    <w:rsid w:val="00EC3A97"/>
    <w:rsid w:val="00EC4348"/>
    <w:rsid w:val="00EC5062"/>
    <w:rsid w:val="00EC5F23"/>
    <w:rsid w:val="00EC6677"/>
    <w:rsid w:val="00EC6F66"/>
    <w:rsid w:val="00EC70EA"/>
    <w:rsid w:val="00ED2C08"/>
    <w:rsid w:val="00ED35E3"/>
    <w:rsid w:val="00ED3811"/>
    <w:rsid w:val="00ED419A"/>
    <w:rsid w:val="00ED4247"/>
    <w:rsid w:val="00ED55E0"/>
    <w:rsid w:val="00ED59D7"/>
    <w:rsid w:val="00ED71DA"/>
    <w:rsid w:val="00ED7465"/>
    <w:rsid w:val="00ED79DC"/>
    <w:rsid w:val="00EE03EB"/>
    <w:rsid w:val="00EE1314"/>
    <w:rsid w:val="00EE2CD2"/>
    <w:rsid w:val="00EE32EB"/>
    <w:rsid w:val="00EE3936"/>
    <w:rsid w:val="00EE3955"/>
    <w:rsid w:val="00EE402B"/>
    <w:rsid w:val="00EE4A43"/>
    <w:rsid w:val="00EE4D2A"/>
    <w:rsid w:val="00EE4F34"/>
    <w:rsid w:val="00EE5D3D"/>
    <w:rsid w:val="00EE6257"/>
    <w:rsid w:val="00EE6678"/>
    <w:rsid w:val="00EE6B6A"/>
    <w:rsid w:val="00EF0129"/>
    <w:rsid w:val="00EF0401"/>
    <w:rsid w:val="00EF1925"/>
    <w:rsid w:val="00EF1B0E"/>
    <w:rsid w:val="00EF2320"/>
    <w:rsid w:val="00EF2898"/>
    <w:rsid w:val="00EF39B1"/>
    <w:rsid w:val="00EF447D"/>
    <w:rsid w:val="00EF464B"/>
    <w:rsid w:val="00EF4816"/>
    <w:rsid w:val="00EF4848"/>
    <w:rsid w:val="00EF4A34"/>
    <w:rsid w:val="00EF4D83"/>
    <w:rsid w:val="00EF4F4C"/>
    <w:rsid w:val="00EF5034"/>
    <w:rsid w:val="00EF60DA"/>
    <w:rsid w:val="00EF63C9"/>
    <w:rsid w:val="00EF6AA1"/>
    <w:rsid w:val="00EF741F"/>
    <w:rsid w:val="00EF75A9"/>
    <w:rsid w:val="00F0038B"/>
    <w:rsid w:val="00F0091D"/>
    <w:rsid w:val="00F00FB8"/>
    <w:rsid w:val="00F014E7"/>
    <w:rsid w:val="00F028BA"/>
    <w:rsid w:val="00F02C0C"/>
    <w:rsid w:val="00F02E60"/>
    <w:rsid w:val="00F02FD9"/>
    <w:rsid w:val="00F030A3"/>
    <w:rsid w:val="00F03841"/>
    <w:rsid w:val="00F042CC"/>
    <w:rsid w:val="00F0432B"/>
    <w:rsid w:val="00F05264"/>
    <w:rsid w:val="00F05706"/>
    <w:rsid w:val="00F0582C"/>
    <w:rsid w:val="00F06EC6"/>
    <w:rsid w:val="00F07DF4"/>
    <w:rsid w:val="00F1058A"/>
    <w:rsid w:val="00F108CB"/>
    <w:rsid w:val="00F11436"/>
    <w:rsid w:val="00F1238A"/>
    <w:rsid w:val="00F125B1"/>
    <w:rsid w:val="00F13413"/>
    <w:rsid w:val="00F13677"/>
    <w:rsid w:val="00F1367E"/>
    <w:rsid w:val="00F13E02"/>
    <w:rsid w:val="00F13E50"/>
    <w:rsid w:val="00F14410"/>
    <w:rsid w:val="00F15010"/>
    <w:rsid w:val="00F1518A"/>
    <w:rsid w:val="00F16195"/>
    <w:rsid w:val="00F164E0"/>
    <w:rsid w:val="00F16887"/>
    <w:rsid w:val="00F16ADD"/>
    <w:rsid w:val="00F16EEB"/>
    <w:rsid w:val="00F20294"/>
    <w:rsid w:val="00F203E2"/>
    <w:rsid w:val="00F206D5"/>
    <w:rsid w:val="00F20A2D"/>
    <w:rsid w:val="00F20AF0"/>
    <w:rsid w:val="00F21C53"/>
    <w:rsid w:val="00F21D99"/>
    <w:rsid w:val="00F21DF7"/>
    <w:rsid w:val="00F2327E"/>
    <w:rsid w:val="00F2341B"/>
    <w:rsid w:val="00F2399D"/>
    <w:rsid w:val="00F239F8"/>
    <w:rsid w:val="00F23F95"/>
    <w:rsid w:val="00F24401"/>
    <w:rsid w:val="00F249B7"/>
    <w:rsid w:val="00F253D4"/>
    <w:rsid w:val="00F2609E"/>
    <w:rsid w:val="00F2699D"/>
    <w:rsid w:val="00F27159"/>
    <w:rsid w:val="00F277F0"/>
    <w:rsid w:val="00F27B1F"/>
    <w:rsid w:val="00F27E22"/>
    <w:rsid w:val="00F30B1F"/>
    <w:rsid w:val="00F31DD1"/>
    <w:rsid w:val="00F338EE"/>
    <w:rsid w:val="00F33A1D"/>
    <w:rsid w:val="00F3475C"/>
    <w:rsid w:val="00F34B1D"/>
    <w:rsid w:val="00F354B6"/>
    <w:rsid w:val="00F36215"/>
    <w:rsid w:val="00F36A1C"/>
    <w:rsid w:val="00F36D1F"/>
    <w:rsid w:val="00F3750D"/>
    <w:rsid w:val="00F37826"/>
    <w:rsid w:val="00F37ED6"/>
    <w:rsid w:val="00F40A64"/>
    <w:rsid w:val="00F426CD"/>
    <w:rsid w:val="00F44580"/>
    <w:rsid w:val="00F454D3"/>
    <w:rsid w:val="00F45B8C"/>
    <w:rsid w:val="00F4683D"/>
    <w:rsid w:val="00F46DFA"/>
    <w:rsid w:val="00F476A0"/>
    <w:rsid w:val="00F47D0E"/>
    <w:rsid w:val="00F50791"/>
    <w:rsid w:val="00F50FC2"/>
    <w:rsid w:val="00F51299"/>
    <w:rsid w:val="00F5193D"/>
    <w:rsid w:val="00F51958"/>
    <w:rsid w:val="00F51A3C"/>
    <w:rsid w:val="00F51C1E"/>
    <w:rsid w:val="00F52CB1"/>
    <w:rsid w:val="00F52CEF"/>
    <w:rsid w:val="00F52E63"/>
    <w:rsid w:val="00F53ACD"/>
    <w:rsid w:val="00F549F3"/>
    <w:rsid w:val="00F5523C"/>
    <w:rsid w:val="00F55400"/>
    <w:rsid w:val="00F554C4"/>
    <w:rsid w:val="00F5599F"/>
    <w:rsid w:val="00F5672C"/>
    <w:rsid w:val="00F57988"/>
    <w:rsid w:val="00F60942"/>
    <w:rsid w:val="00F61661"/>
    <w:rsid w:val="00F62203"/>
    <w:rsid w:val="00F62E62"/>
    <w:rsid w:val="00F63A9F"/>
    <w:rsid w:val="00F64669"/>
    <w:rsid w:val="00F64A54"/>
    <w:rsid w:val="00F65821"/>
    <w:rsid w:val="00F658F3"/>
    <w:rsid w:val="00F660D2"/>
    <w:rsid w:val="00F66130"/>
    <w:rsid w:val="00F67F3E"/>
    <w:rsid w:val="00F700C0"/>
    <w:rsid w:val="00F7084A"/>
    <w:rsid w:val="00F721B4"/>
    <w:rsid w:val="00F721C7"/>
    <w:rsid w:val="00F72D1A"/>
    <w:rsid w:val="00F73023"/>
    <w:rsid w:val="00F7360B"/>
    <w:rsid w:val="00F741B2"/>
    <w:rsid w:val="00F76C0C"/>
    <w:rsid w:val="00F76F1A"/>
    <w:rsid w:val="00F77400"/>
    <w:rsid w:val="00F77725"/>
    <w:rsid w:val="00F7791F"/>
    <w:rsid w:val="00F77B6E"/>
    <w:rsid w:val="00F80FBF"/>
    <w:rsid w:val="00F8212F"/>
    <w:rsid w:val="00F82522"/>
    <w:rsid w:val="00F8278C"/>
    <w:rsid w:val="00F8283D"/>
    <w:rsid w:val="00F8301F"/>
    <w:rsid w:val="00F83AE8"/>
    <w:rsid w:val="00F83FCA"/>
    <w:rsid w:val="00F84164"/>
    <w:rsid w:val="00F852A1"/>
    <w:rsid w:val="00F85E82"/>
    <w:rsid w:val="00F8621C"/>
    <w:rsid w:val="00F865E3"/>
    <w:rsid w:val="00F874B9"/>
    <w:rsid w:val="00F87FE5"/>
    <w:rsid w:val="00F904F6"/>
    <w:rsid w:val="00F90583"/>
    <w:rsid w:val="00F905EB"/>
    <w:rsid w:val="00F91003"/>
    <w:rsid w:val="00F9209A"/>
    <w:rsid w:val="00F92605"/>
    <w:rsid w:val="00F92CE7"/>
    <w:rsid w:val="00F932B8"/>
    <w:rsid w:val="00F945D9"/>
    <w:rsid w:val="00F94A05"/>
    <w:rsid w:val="00F94B89"/>
    <w:rsid w:val="00F95D84"/>
    <w:rsid w:val="00F95F7B"/>
    <w:rsid w:val="00F973E1"/>
    <w:rsid w:val="00F97C75"/>
    <w:rsid w:val="00FA0876"/>
    <w:rsid w:val="00FA11F9"/>
    <w:rsid w:val="00FA1250"/>
    <w:rsid w:val="00FA143C"/>
    <w:rsid w:val="00FA1455"/>
    <w:rsid w:val="00FA1770"/>
    <w:rsid w:val="00FA5AA0"/>
    <w:rsid w:val="00FA5D69"/>
    <w:rsid w:val="00FA6147"/>
    <w:rsid w:val="00FA65A8"/>
    <w:rsid w:val="00FA748C"/>
    <w:rsid w:val="00FA7FEE"/>
    <w:rsid w:val="00FB0008"/>
    <w:rsid w:val="00FB095D"/>
    <w:rsid w:val="00FB0E40"/>
    <w:rsid w:val="00FB11C6"/>
    <w:rsid w:val="00FB132A"/>
    <w:rsid w:val="00FB2438"/>
    <w:rsid w:val="00FB2706"/>
    <w:rsid w:val="00FB31D3"/>
    <w:rsid w:val="00FB31D7"/>
    <w:rsid w:val="00FB3E2A"/>
    <w:rsid w:val="00FB4075"/>
    <w:rsid w:val="00FB49D8"/>
    <w:rsid w:val="00FB4D23"/>
    <w:rsid w:val="00FB5124"/>
    <w:rsid w:val="00FB5A84"/>
    <w:rsid w:val="00FB7CA6"/>
    <w:rsid w:val="00FC16F9"/>
    <w:rsid w:val="00FC1BD7"/>
    <w:rsid w:val="00FC1CFF"/>
    <w:rsid w:val="00FC2320"/>
    <w:rsid w:val="00FC271A"/>
    <w:rsid w:val="00FC2925"/>
    <w:rsid w:val="00FC3214"/>
    <w:rsid w:val="00FC4043"/>
    <w:rsid w:val="00FC410F"/>
    <w:rsid w:val="00FC42A4"/>
    <w:rsid w:val="00FC42B4"/>
    <w:rsid w:val="00FC52AE"/>
    <w:rsid w:val="00FC5ADD"/>
    <w:rsid w:val="00FC60BA"/>
    <w:rsid w:val="00FC61DF"/>
    <w:rsid w:val="00FC6A02"/>
    <w:rsid w:val="00FC73F6"/>
    <w:rsid w:val="00FC77A7"/>
    <w:rsid w:val="00FC78F2"/>
    <w:rsid w:val="00FC7AD5"/>
    <w:rsid w:val="00FC7DEF"/>
    <w:rsid w:val="00FD01FC"/>
    <w:rsid w:val="00FD08CF"/>
    <w:rsid w:val="00FD13EA"/>
    <w:rsid w:val="00FD192F"/>
    <w:rsid w:val="00FD26E5"/>
    <w:rsid w:val="00FD2AC9"/>
    <w:rsid w:val="00FD2E59"/>
    <w:rsid w:val="00FD2FEA"/>
    <w:rsid w:val="00FD3703"/>
    <w:rsid w:val="00FD376A"/>
    <w:rsid w:val="00FD3DAC"/>
    <w:rsid w:val="00FD4596"/>
    <w:rsid w:val="00FD4978"/>
    <w:rsid w:val="00FD7645"/>
    <w:rsid w:val="00FE030E"/>
    <w:rsid w:val="00FE1BDF"/>
    <w:rsid w:val="00FE1F4F"/>
    <w:rsid w:val="00FE3B5D"/>
    <w:rsid w:val="00FE4497"/>
    <w:rsid w:val="00FE7918"/>
    <w:rsid w:val="00FF10F6"/>
    <w:rsid w:val="00FF1791"/>
    <w:rsid w:val="00FF1AB7"/>
    <w:rsid w:val="00FF1B20"/>
    <w:rsid w:val="00FF2B82"/>
    <w:rsid w:val="00FF2C3B"/>
    <w:rsid w:val="00FF3277"/>
    <w:rsid w:val="00FF3E4A"/>
    <w:rsid w:val="00FF3E9B"/>
    <w:rsid w:val="00FF40AE"/>
    <w:rsid w:val="00FF4584"/>
    <w:rsid w:val="00FF47A4"/>
    <w:rsid w:val="00FF55FC"/>
    <w:rsid w:val="00FF7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3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0DDA"/>
    <w:pPr>
      <w:jc w:val="both"/>
    </w:pPr>
    <w:rPr>
      <w:rFonts w:ascii="Open Sans" w:hAnsi="Open Sans"/>
      <w:color w:val="000000"/>
    </w:rPr>
  </w:style>
  <w:style w:type="paragraph" w:styleId="Titre1">
    <w:name w:val="heading 1"/>
    <w:basedOn w:val="Normal"/>
    <w:next w:val="Corpsdetexte"/>
    <w:qFormat/>
    <w:rsid w:val="00582A4C"/>
    <w:pPr>
      <w:keepNext/>
      <w:numPr>
        <w:numId w:val="8"/>
      </w:numPr>
      <w:tabs>
        <w:tab w:val="left" w:pos="567"/>
      </w:tabs>
      <w:spacing w:before="240" w:after="240"/>
      <w:ind w:left="567" w:hanging="573"/>
      <w:outlineLvl w:val="0"/>
    </w:pPr>
    <w:rPr>
      <w:rFonts w:cs="Arial"/>
      <w:b/>
      <w:bCs/>
      <w:color w:val="auto"/>
      <w:sz w:val="22"/>
      <w:szCs w:val="22"/>
      <w:u w:val="single"/>
    </w:rPr>
  </w:style>
  <w:style w:type="paragraph" w:styleId="Titre2">
    <w:name w:val="heading 2"/>
    <w:basedOn w:val="Titre1"/>
    <w:next w:val="Corpsdetexte"/>
    <w:link w:val="Titre2Car"/>
    <w:qFormat/>
    <w:rsid w:val="00F84164"/>
    <w:pPr>
      <w:numPr>
        <w:ilvl w:val="1"/>
      </w:numPr>
      <w:tabs>
        <w:tab w:val="clear" w:pos="567"/>
        <w:tab w:val="left" w:pos="851"/>
      </w:tabs>
      <w:ind w:left="851"/>
      <w:outlineLvl w:val="1"/>
    </w:pPr>
  </w:style>
  <w:style w:type="paragraph" w:styleId="Titre3">
    <w:name w:val="heading 3"/>
    <w:basedOn w:val="Titre2"/>
    <w:next w:val="Corpsdetexte"/>
    <w:link w:val="Titre3Car"/>
    <w:qFormat/>
    <w:rsid w:val="00F84164"/>
    <w:pPr>
      <w:numPr>
        <w:ilvl w:val="2"/>
      </w:numPr>
      <w:tabs>
        <w:tab w:val="clear" w:pos="851"/>
        <w:tab w:val="left" w:pos="1560"/>
      </w:tabs>
      <w:ind w:left="1560" w:hanging="709"/>
      <w:jc w:val="left"/>
      <w:outlineLvl w:val="2"/>
    </w:pPr>
    <w:rPr>
      <w:sz w:val="20"/>
    </w:rPr>
  </w:style>
  <w:style w:type="paragraph" w:styleId="Titre4">
    <w:name w:val="heading 4"/>
    <w:basedOn w:val="Titre3"/>
    <w:next w:val="Corpsdetexte"/>
    <w:qFormat/>
    <w:rsid w:val="00F84164"/>
    <w:pPr>
      <w:numPr>
        <w:ilvl w:val="3"/>
      </w:numPr>
      <w:tabs>
        <w:tab w:val="clear" w:pos="1560"/>
        <w:tab w:val="left" w:pos="1985"/>
      </w:tabs>
      <w:ind w:left="1985" w:hanging="851"/>
      <w:outlineLvl w:val="3"/>
    </w:pPr>
  </w:style>
  <w:style w:type="paragraph" w:styleId="Titre5">
    <w:name w:val="heading 5"/>
    <w:basedOn w:val="Titre4"/>
    <w:next w:val="Corpsdetexte"/>
    <w:link w:val="Titre5Car"/>
    <w:qFormat/>
    <w:rsid w:val="00F84164"/>
    <w:pPr>
      <w:numPr>
        <w:ilvl w:val="4"/>
      </w:numPr>
      <w:tabs>
        <w:tab w:val="clear" w:pos="1985"/>
        <w:tab w:val="left" w:pos="2410"/>
      </w:tabs>
      <w:ind w:left="2410"/>
      <w:outlineLvl w:val="4"/>
    </w:pPr>
    <w:rPr>
      <w:rFonts w:eastAsia="Times"/>
      <w:szCs w:val="20"/>
      <w:u w:val="none"/>
    </w:rPr>
  </w:style>
  <w:style w:type="paragraph" w:styleId="Titre6">
    <w:name w:val="heading 6"/>
    <w:basedOn w:val="Titre5"/>
    <w:next w:val="Corpsdetexte"/>
    <w:qFormat/>
    <w:rsid w:val="0075511C"/>
    <w:pPr>
      <w:numPr>
        <w:ilvl w:val="5"/>
      </w:numPr>
      <w:tabs>
        <w:tab w:val="clear" w:pos="2410"/>
        <w:tab w:val="left" w:pos="2835"/>
      </w:tabs>
      <w:ind w:left="2835"/>
      <w:outlineLvl w:val="5"/>
    </w:pPr>
    <w:rPr>
      <w:i/>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pPr>
      <w:keepNext/>
      <w:numPr>
        <w:ilvl w:val="6"/>
        <w:numId w:val="8"/>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pPr>
      <w:keepNext/>
      <w:numPr>
        <w:ilvl w:val="7"/>
        <w:numId w:val="8"/>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pPr>
      <w:keepNext/>
      <w:numPr>
        <w:ilvl w:val="8"/>
        <w:numId w:val="8"/>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582A4C"/>
    <w:pPr>
      <w:spacing w:before="120" w:after="120" w:line="280" w:lineRule="atLeast"/>
    </w:pPr>
  </w:style>
  <w:style w:type="character" w:customStyle="1" w:styleId="Titre2Car">
    <w:name w:val="Titre 2 Car"/>
    <w:basedOn w:val="Policepardfaut"/>
    <w:link w:val="Titre2"/>
    <w:uiPriority w:val="9"/>
    <w:rsid w:val="00F84164"/>
    <w:rPr>
      <w:rFonts w:ascii="Open Sans" w:hAnsi="Open Sans" w:cs="Arial"/>
      <w:b/>
      <w:bCs/>
      <w:sz w:val="22"/>
      <w:szCs w:val="22"/>
      <w:u w:val="single"/>
    </w:rPr>
  </w:style>
  <w:style w:type="character" w:customStyle="1" w:styleId="Titre3Car">
    <w:name w:val="Titre 3 Car"/>
    <w:link w:val="Titre3"/>
    <w:rsid w:val="00F84164"/>
    <w:rPr>
      <w:rFonts w:ascii="Open Sans" w:hAnsi="Open Sans" w:cs="Arial"/>
      <w:b/>
      <w:bCs/>
      <w:szCs w:val="22"/>
      <w:u w:val="single"/>
    </w:rPr>
  </w:style>
  <w:style w:type="character" w:customStyle="1" w:styleId="Titre5Car">
    <w:name w:val="Titre 5 Car"/>
    <w:basedOn w:val="Policepardfaut"/>
    <w:link w:val="Titre5"/>
    <w:rsid w:val="00F84164"/>
    <w:rPr>
      <w:rFonts w:ascii="Open Sans" w:eastAsia="Times" w:hAnsi="Open Sans" w:cs="Arial"/>
      <w:b/>
      <w:bCs/>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B31B73"/>
    <w:rPr>
      <w:rFonts w:ascii="Arial" w:hAnsi="Arial"/>
      <w:color w:val="000000"/>
    </w:rPr>
  </w:style>
  <w:style w:type="paragraph" w:styleId="TM1">
    <w:name w:val="toc 1"/>
    <w:basedOn w:val="Normal"/>
    <w:next w:val="Normal"/>
    <w:autoRedefine/>
    <w:uiPriority w:val="39"/>
    <w:rsid w:val="002C0FB0"/>
    <w:pPr>
      <w:tabs>
        <w:tab w:val="left" w:pos="400"/>
        <w:tab w:val="right" w:leader="dot" w:pos="9356"/>
      </w:tabs>
      <w:ind w:right="283"/>
    </w:pPr>
    <w:rPr>
      <w:rFonts w:cs="Open Sans"/>
      <w:noProof/>
      <w:sz w:val="22"/>
      <w:szCs w:val="22"/>
    </w:rPr>
  </w:style>
  <w:style w:type="paragraph" w:styleId="TM2">
    <w:name w:val="toc 2"/>
    <w:basedOn w:val="Normal"/>
    <w:next w:val="Normal"/>
    <w:autoRedefine/>
    <w:uiPriority w:val="39"/>
    <w:rsid w:val="002C0FB0"/>
    <w:pPr>
      <w:tabs>
        <w:tab w:val="left" w:pos="660"/>
        <w:tab w:val="right" w:leader="dot" w:pos="9356"/>
      </w:tabs>
      <w:spacing w:before="60" w:after="60"/>
      <w:ind w:left="198" w:right="283"/>
    </w:pPr>
    <w:rPr>
      <w:rFonts w:cs="Open Sans"/>
      <w:noProof/>
    </w:rPr>
  </w:style>
  <w:style w:type="paragraph" w:styleId="TM3">
    <w:name w:val="toc 3"/>
    <w:basedOn w:val="Normal"/>
    <w:next w:val="Normal"/>
    <w:autoRedefine/>
    <w:uiPriority w:val="39"/>
    <w:rsid w:val="002C0FB0"/>
    <w:pPr>
      <w:tabs>
        <w:tab w:val="left" w:pos="1134"/>
        <w:tab w:val="right" w:leader="dot" w:pos="9356"/>
      </w:tabs>
      <w:ind w:left="400" w:right="283"/>
    </w:pPr>
    <w:rPr>
      <w:rFonts w:cs="Open Sans"/>
      <w:noProof/>
      <w:color w:val="auto"/>
    </w:rPr>
  </w:style>
  <w:style w:type="paragraph" w:customStyle="1" w:styleId="Style1">
    <w:name w:val="Style1"/>
    <w:basedOn w:val="Normal"/>
    <w:autoRedefine/>
    <w:rsid w:val="00D40364"/>
    <w:pPr>
      <w:pageBreakBefore/>
      <w:jc w:val="center"/>
    </w:pPr>
    <w:rPr>
      <w:rFonts w:cs="Open Sans"/>
      <w:b/>
      <w:sz w:val="28"/>
      <w:szCs w:val="28"/>
      <w:u w:val="single"/>
    </w:rPr>
  </w:style>
  <w:style w:type="paragraph" w:customStyle="1" w:styleId="Normal2">
    <w:name w:val="Normal2"/>
    <w:basedOn w:val="Normal"/>
    <w:link w:val="Normal2Car"/>
    <w:pPr>
      <w:ind w:left="142"/>
    </w:pPr>
    <w:rPr>
      <w:i/>
    </w:rPr>
  </w:style>
  <w:style w:type="character" w:customStyle="1" w:styleId="Normal2Car">
    <w:name w:val="Normal2 Car"/>
    <w:link w:val="Normal2"/>
    <w:rsid w:val="00AE2977"/>
    <w:rPr>
      <w:rFonts w:ascii="Arial" w:hAnsi="Arial"/>
      <w:i/>
      <w:color w:val="000000"/>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20"/>
    <w:qFormat/>
    <w:rPr>
      <w:i/>
      <w:iCs/>
    </w:rPr>
  </w:style>
  <w:style w:type="character" w:styleId="lev">
    <w:name w:val="Strong"/>
    <w:uiPriority w:val="22"/>
    <w:rPr>
      <w:b/>
      <w:bC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71268E"/>
    <w:pPr>
      <w:ind w:left="720"/>
      <w:contextualSpacing/>
    </w:p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CE59B8"/>
    <w:rPr>
      <w:rFonts w:ascii="Open Sans" w:hAnsi="Open Sans"/>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styleId="Listenumros">
    <w:name w:val="List Number"/>
    <w:basedOn w:val="Normal"/>
    <w:rsid w:val="008C1269"/>
    <w:pPr>
      <w:tabs>
        <w:tab w:val="num" w:pos="360"/>
        <w:tab w:val="num" w:pos="851"/>
      </w:tabs>
      <w:suppressAutoHyphens/>
      <w:spacing w:before="120" w:after="120"/>
      <w:ind w:left="851" w:hanging="851"/>
    </w:pPr>
    <w:rPr>
      <w:i/>
      <w:noProof/>
      <w:color w:val="auto"/>
      <w:sz w:val="22"/>
    </w:rPr>
  </w:style>
  <w:style w:type="paragraph" w:customStyle="1" w:styleId="BodyText23">
    <w:name w:val="Body Text 23"/>
    <w:basedOn w:val="Normal"/>
    <w:rsid w:val="00E327D0"/>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BodyText21">
    <w:name w:val="Body Text 21"/>
    <w:basedOn w:val="Normal"/>
    <w:rsid w:val="00E327D0"/>
    <w:pPr>
      <w:tabs>
        <w:tab w:val="left" w:pos="426"/>
      </w:tabs>
      <w:overflowPunct w:val="0"/>
      <w:autoSpaceDE w:val="0"/>
      <w:autoSpaceDN w:val="0"/>
      <w:adjustRightInd w:val="0"/>
      <w:ind w:left="426" w:hanging="426"/>
      <w:textAlignment w:val="baseline"/>
    </w:pPr>
    <w:rPr>
      <w:rFonts w:ascii="Times New Roman" w:hAnsi="Times New Roman"/>
      <w:color w:val="auto"/>
      <w:sz w:val="24"/>
      <w:lang w:val="fr-CA"/>
    </w:rPr>
  </w:style>
  <w:style w:type="paragraph" w:styleId="Listepuces">
    <w:name w:val="List Bullet"/>
    <w:basedOn w:val="Paragraphedeliste"/>
    <w:qFormat/>
    <w:rsid w:val="00582A4C"/>
    <w:pPr>
      <w:numPr>
        <w:numId w:val="7"/>
      </w:numPr>
      <w:spacing w:before="120" w:after="120" w:line="280" w:lineRule="atLeast"/>
    </w:pPr>
  </w:style>
  <w:style w:type="paragraph" w:customStyle="1" w:styleId="A">
    <w:name w:val="A"/>
    <w:rsid w:val="00E327D0"/>
    <w:pPr>
      <w:keepLines/>
      <w:tabs>
        <w:tab w:val="left" w:pos="567"/>
      </w:tabs>
      <w:spacing w:after="240"/>
      <w:jc w:val="both"/>
    </w:pPr>
    <w:rPr>
      <w:sz w:val="22"/>
    </w:rPr>
  </w:style>
  <w:style w:type="paragraph" w:customStyle="1" w:styleId="TIndent1Alt1CharChar1Char">
    <w:name w:val="T.Indenté1 (Alt+1) Char Char1 Char"/>
    <w:basedOn w:val="Normal"/>
    <w:rsid w:val="00E327D0"/>
    <w:pPr>
      <w:keepLines/>
      <w:numPr>
        <w:numId w:val="1"/>
      </w:numPr>
      <w:tabs>
        <w:tab w:val="num" w:pos="1771"/>
      </w:tabs>
      <w:spacing w:before="120" w:after="120" w:line="260" w:lineRule="atLeast"/>
      <w:ind w:left="1771" w:hanging="331"/>
    </w:pPr>
    <w:rPr>
      <w:rFonts w:cs="Arial"/>
      <w:color w:val="auto"/>
      <w:lang w:eastAsia="en-US"/>
    </w:rPr>
  </w:style>
  <w:style w:type="paragraph" w:styleId="Sansinterligne">
    <w:name w:val="No Spacing"/>
    <w:uiPriority w:val="1"/>
    <w:rsid w:val="00C27FAB"/>
    <w:pPr>
      <w:jc w:val="both"/>
    </w:pPr>
    <w:rPr>
      <w:rFonts w:ascii="Arial" w:hAnsi="Arial"/>
      <w:color w:val="000000"/>
    </w:rPr>
  </w:style>
  <w:style w:type="paragraph" w:customStyle="1" w:styleId="TabT10">
    <w:name w:val="Tab T10"/>
    <w:basedOn w:val="Normal"/>
    <w:rsid w:val="004E51A7"/>
    <w:pPr>
      <w:spacing w:before="20" w:after="20"/>
      <w:ind w:left="57" w:right="57"/>
      <w:jc w:val="left"/>
    </w:pPr>
    <w:rPr>
      <w:rFonts w:ascii="Times New Roman" w:hAnsi="Times New Roman"/>
      <w:color w:val="auto"/>
    </w:rPr>
  </w:style>
  <w:style w:type="paragraph" w:customStyle="1" w:styleId="TabT11">
    <w:name w:val="Tab T11"/>
    <w:basedOn w:val="Normal"/>
    <w:rsid w:val="004E51A7"/>
    <w:pPr>
      <w:spacing w:before="30" w:after="30"/>
      <w:ind w:left="57" w:right="57"/>
      <w:jc w:val="left"/>
    </w:pPr>
    <w:rPr>
      <w:rFonts w:ascii="Times New Roman" w:hAnsi="Times New Roman"/>
      <w:color w:val="auto"/>
      <w:sz w:val="22"/>
    </w:rPr>
  </w:style>
  <w:style w:type="paragraph" w:customStyle="1" w:styleId="ActionTab">
    <w:name w:val="Action Tab"/>
    <w:basedOn w:val="Normal"/>
    <w:rsid w:val="004E51A7"/>
    <w:pPr>
      <w:tabs>
        <w:tab w:val="num" w:pos="360"/>
      </w:tabs>
      <w:spacing w:before="20" w:after="20"/>
      <w:ind w:left="357" w:right="57" w:hanging="357"/>
      <w:jc w:val="left"/>
    </w:pPr>
    <w:rPr>
      <w:rFonts w:ascii="Times New Roman" w:hAnsi="Times New Roman"/>
      <w:color w:val="auto"/>
    </w:rPr>
  </w:style>
  <w:style w:type="character" w:customStyle="1" w:styleId="Style115pt">
    <w:name w:val="Style 115 pt"/>
    <w:rsid w:val="004E51A7"/>
    <w:rPr>
      <w:sz w:val="24"/>
    </w:rPr>
  </w:style>
  <w:style w:type="paragraph" w:styleId="Normalcentr">
    <w:name w:val="Block Text"/>
    <w:basedOn w:val="Normal"/>
    <w:rsid w:val="004E51A7"/>
    <w:pPr>
      <w:shd w:val="clear" w:color="auto" w:fill="FFFFFF"/>
      <w:spacing w:before="58" w:line="278" w:lineRule="exact"/>
      <w:ind w:left="572" w:right="67"/>
    </w:pPr>
    <w:rPr>
      <w:rFonts w:ascii="Times New Roman" w:hAnsi="Times New Roman"/>
      <w:spacing w:val="-4"/>
      <w:sz w:val="24"/>
      <w:szCs w:val="24"/>
    </w:rPr>
  </w:style>
  <w:style w:type="paragraph" w:customStyle="1" w:styleId="Standard1">
    <w:name w:val="Standard1"/>
    <w:basedOn w:val="Normal"/>
    <w:rsid w:val="00B5384A"/>
    <w:rPr>
      <w:rFonts w:ascii="Times" w:hAnsi="Times"/>
      <w:color w:val="auto"/>
      <w:sz w:val="24"/>
    </w:rPr>
  </w:style>
  <w:style w:type="paragraph" w:customStyle="1" w:styleId="Enum1">
    <w:name w:val="Enum1"/>
    <w:basedOn w:val="Listepuces"/>
    <w:next w:val="Normal"/>
    <w:rsid w:val="00B5384A"/>
    <w:pPr>
      <w:numPr>
        <w:numId w:val="3"/>
      </w:numPr>
      <w:tabs>
        <w:tab w:val="clear" w:pos="660"/>
        <w:tab w:val="num" w:pos="360"/>
        <w:tab w:val="left" w:pos="900"/>
      </w:tabs>
      <w:ind w:left="357" w:hanging="357"/>
    </w:pPr>
    <w:rPr>
      <w:sz w:val="24"/>
    </w:rPr>
  </w:style>
  <w:style w:type="paragraph" w:customStyle="1" w:styleId="Enum10">
    <w:name w:val="Enum 1"/>
    <w:basedOn w:val="Normal"/>
    <w:rsid w:val="00B5384A"/>
    <w:pPr>
      <w:widowControl w:val="0"/>
      <w:numPr>
        <w:numId w:val="2"/>
      </w:numPr>
      <w:spacing w:before="120" w:after="120"/>
      <w:ind w:right="-179"/>
    </w:pPr>
    <w:rPr>
      <w:color w:val="auto"/>
      <w:sz w:val="24"/>
    </w:rPr>
  </w:style>
  <w:style w:type="paragraph" w:customStyle="1" w:styleId="retrait1">
    <w:name w:val="retrait1"/>
    <w:basedOn w:val="Normal"/>
    <w:rsid w:val="00857C41"/>
    <w:pPr>
      <w:numPr>
        <w:numId w:val="4"/>
      </w:numPr>
    </w:pPr>
    <w:rPr>
      <w:color w:val="auto"/>
      <w:sz w:val="24"/>
    </w:rPr>
  </w:style>
  <w:style w:type="paragraph" w:customStyle="1" w:styleId="DefaultText">
    <w:name w:val="Default Text"/>
    <w:basedOn w:val="Normal"/>
    <w:rsid w:val="00F8283D"/>
    <w:pPr>
      <w:widowControl w:val="0"/>
      <w:tabs>
        <w:tab w:val="left" w:pos="0"/>
      </w:tabs>
    </w:pPr>
    <w:rPr>
      <w:color w:val="auto"/>
      <w:sz w:val="22"/>
      <w:lang w:val="fr-BE"/>
    </w:rPr>
  </w:style>
  <w:style w:type="paragraph" w:styleId="Textebrut">
    <w:name w:val="Plain Text"/>
    <w:basedOn w:val="Normal"/>
    <w:link w:val="TextebrutCar"/>
    <w:rsid w:val="00F60942"/>
    <w:pPr>
      <w:spacing w:before="100"/>
      <w:ind w:left="737" w:right="737" w:hanging="737"/>
    </w:pPr>
    <w:rPr>
      <w:rFonts w:ascii="Times New Roman" w:hAnsi="Times New Roman"/>
      <w:color w:val="auto"/>
      <w:sz w:val="24"/>
    </w:rPr>
  </w:style>
  <w:style w:type="character" w:customStyle="1" w:styleId="TextebrutCar">
    <w:name w:val="Texte brut Car"/>
    <w:basedOn w:val="Policepardfaut"/>
    <w:link w:val="Textebrut"/>
    <w:rsid w:val="00F60942"/>
    <w:rPr>
      <w:sz w:val="24"/>
    </w:rPr>
  </w:style>
  <w:style w:type="paragraph" w:customStyle="1" w:styleId="Corpsdetexte22">
    <w:name w:val="Corps de texte 22"/>
    <w:basedOn w:val="Normal"/>
    <w:rsid w:val="00943314"/>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Normal11pt">
    <w:name w:val="Normal + 11 pt"/>
    <w:aliases w:val="Justifié"/>
    <w:basedOn w:val="A"/>
    <w:link w:val="Normal11ptCar"/>
    <w:rsid w:val="00772FF9"/>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link w:val="Normal11pt"/>
    <w:rsid w:val="00772FF9"/>
    <w:rPr>
      <w:sz w:val="22"/>
      <w:lang w:val="fr-CA"/>
    </w:rPr>
  </w:style>
  <w:style w:type="paragraph" w:customStyle="1" w:styleId="BodyText22">
    <w:name w:val="Body Text 22"/>
    <w:basedOn w:val="Normal"/>
    <w:uiPriority w:val="99"/>
    <w:rsid w:val="00282A69"/>
    <w:rPr>
      <w:rFonts w:ascii="Times New Roman" w:hAnsi="Times New Roman"/>
      <w:b/>
      <w:i/>
      <w:color w:val="0000FF"/>
      <w:sz w:val="24"/>
    </w:rPr>
  </w:style>
  <w:style w:type="paragraph" w:customStyle="1" w:styleId="Listepuces1CCTP">
    <w:name w:val="Liste à puces 1CCTP"/>
    <w:basedOn w:val="Normal"/>
    <w:rsid w:val="00D52BB9"/>
    <w:pPr>
      <w:numPr>
        <w:numId w:val="5"/>
      </w:numPr>
      <w:tabs>
        <w:tab w:val="left" w:pos="284"/>
      </w:tabs>
      <w:spacing w:line="312" w:lineRule="auto"/>
    </w:pPr>
    <w:rPr>
      <w:rFonts w:ascii="Arial" w:hAnsi="Arial"/>
      <w:color w:val="auto"/>
      <w:sz w:val="24"/>
    </w:rPr>
  </w:style>
  <w:style w:type="paragraph" w:customStyle="1" w:styleId="NormalJustifi">
    <w:name w:val="Normal + Justifié"/>
    <w:basedOn w:val="Normal"/>
    <w:rsid w:val="00E5737D"/>
    <w:rPr>
      <w:rFonts w:ascii="Arial" w:hAnsi="Arial"/>
      <w:color w:val="auto"/>
      <w:sz w:val="22"/>
      <w:szCs w:val="22"/>
    </w:rPr>
  </w:style>
  <w:style w:type="paragraph" w:customStyle="1" w:styleId="TIndent2Alt2">
    <w:name w:val="T.Indenté2 (Alt+2)"/>
    <w:basedOn w:val="Normal"/>
    <w:rsid w:val="00E86FE2"/>
    <w:pPr>
      <w:numPr>
        <w:numId w:val="6"/>
      </w:numPr>
      <w:tabs>
        <w:tab w:val="clear" w:pos="2157"/>
        <w:tab w:val="num" w:pos="1429"/>
      </w:tabs>
      <w:spacing w:after="120" w:line="260" w:lineRule="atLeast"/>
      <w:ind w:left="2154" w:hanging="357"/>
    </w:pPr>
    <w:rPr>
      <w:rFonts w:ascii="Times New Roman" w:hAnsi="Times New Roman"/>
      <w:color w:val="auto"/>
      <w:sz w:val="24"/>
      <w:lang w:eastAsia="en-US"/>
    </w:rPr>
  </w:style>
  <w:style w:type="paragraph" w:styleId="TM4">
    <w:name w:val="toc 4"/>
    <w:basedOn w:val="Normal"/>
    <w:next w:val="Normal"/>
    <w:autoRedefine/>
    <w:uiPriority w:val="39"/>
    <w:unhideWhenUsed/>
    <w:rsid w:val="002C0FB0"/>
    <w:pPr>
      <w:tabs>
        <w:tab w:val="left" w:pos="1540"/>
        <w:tab w:val="right" w:leader="dot" w:pos="9356"/>
      </w:tabs>
      <w:ind w:left="601" w:right="283"/>
    </w:pPr>
    <w:rPr>
      <w:rFonts w:cs="Open Sans"/>
      <w:noProof/>
    </w:rPr>
  </w:style>
  <w:style w:type="paragraph" w:styleId="TM5">
    <w:name w:val="toc 5"/>
    <w:basedOn w:val="Normal"/>
    <w:next w:val="Normal"/>
    <w:autoRedefine/>
    <w:uiPriority w:val="39"/>
    <w:unhideWhenUsed/>
    <w:rsid w:val="002B0F1C"/>
    <w:pPr>
      <w:tabs>
        <w:tab w:val="left" w:pos="1880"/>
        <w:tab w:val="right" w:leader="dot" w:pos="9356"/>
      </w:tabs>
      <w:ind w:left="799" w:right="283"/>
    </w:pPr>
  </w:style>
  <w:style w:type="table" w:customStyle="1" w:styleId="TableGrid">
    <w:name w:val="TableGrid"/>
    <w:rsid w:val="003F5E4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Rvision">
    <w:name w:val="Revision"/>
    <w:hidden/>
    <w:uiPriority w:val="99"/>
    <w:semiHidden/>
    <w:rsid w:val="00836654"/>
    <w:rPr>
      <w:rFonts w:ascii="Open Sans" w:hAnsi="Open Sans"/>
      <w:color w:val="000000"/>
    </w:rPr>
  </w:style>
  <w:style w:type="table" w:styleId="Tableauweb1">
    <w:name w:val="Table Web 1"/>
    <w:basedOn w:val="TableauNormal"/>
    <w:rsid w:val="002927E4"/>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semiHidden/>
    <w:unhideWhenUsed/>
    <w:rsid w:val="00C23573"/>
  </w:style>
  <w:style w:type="character" w:customStyle="1" w:styleId="NotedebasdepageCar">
    <w:name w:val="Note de bas de page Car"/>
    <w:basedOn w:val="Policepardfaut"/>
    <w:link w:val="Notedebasdepage"/>
    <w:semiHidden/>
    <w:rsid w:val="00C23573"/>
    <w:rPr>
      <w:rFonts w:ascii="Open Sans" w:hAnsi="Open Sans"/>
      <w:color w:val="000000"/>
    </w:rPr>
  </w:style>
  <w:style w:type="character" w:styleId="Appelnotedebasdep">
    <w:name w:val="footnote reference"/>
    <w:basedOn w:val="Policepardfaut"/>
    <w:semiHidden/>
    <w:unhideWhenUsed/>
    <w:rsid w:val="00C23573"/>
    <w:rPr>
      <w:vertAlign w:val="superscript"/>
    </w:rPr>
  </w:style>
  <w:style w:type="character" w:customStyle="1" w:styleId="CorpsdetexteCar">
    <w:name w:val="Corps de texte Car"/>
    <w:basedOn w:val="Policepardfaut"/>
    <w:link w:val="Corpsdetexte"/>
    <w:rsid w:val="00C75897"/>
    <w:rPr>
      <w:rFonts w:ascii="Open Sans" w:hAnsi="Open Sans"/>
      <w:color w:val="000000"/>
    </w:rPr>
  </w:style>
  <w:style w:type="paragraph" w:customStyle="1" w:styleId="EnumTab">
    <w:name w:val="Enum Tab"/>
    <w:basedOn w:val="Normal"/>
    <w:rsid w:val="00DB5088"/>
    <w:pPr>
      <w:numPr>
        <w:numId w:val="9"/>
      </w:numPr>
      <w:spacing w:before="20" w:after="20"/>
      <w:ind w:right="57"/>
      <w:jc w:val="left"/>
    </w:pPr>
    <w:rPr>
      <w:rFonts w:ascii="Times New Roman" w:hAnsi="Times New Roman"/>
      <w:color w:val="auto"/>
    </w:rPr>
  </w:style>
  <w:style w:type="paragraph" w:styleId="Liste">
    <w:name w:val="List"/>
    <w:basedOn w:val="Normal"/>
    <w:uiPriority w:val="99"/>
    <w:unhideWhenUsed/>
    <w:rsid w:val="001718DA"/>
    <w:pPr>
      <w:ind w:left="283" w:hanging="283"/>
      <w:contextualSpacing/>
    </w:pPr>
  </w:style>
  <w:style w:type="paragraph" w:customStyle="1" w:styleId="Findeliste">
    <w:name w:val="Fin de liste"/>
    <w:basedOn w:val="Paragraphedeliste"/>
    <w:next w:val="Corpsdetexte"/>
    <w:qFormat/>
    <w:rsid w:val="00F21C53"/>
    <w:pPr>
      <w:numPr>
        <w:numId w:val="35"/>
      </w:numPr>
      <w:spacing w:after="240"/>
      <w:ind w:left="714" w:hanging="357"/>
      <w:contextualSpacing w:val="0"/>
    </w:pPr>
    <w:rPr>
      <w:rFonts w:ascii="Century Gothic" w:hAnsi="Century Gothic" w:cs="Arial"/>
      <w:color w:val="auto"/>
    </w:rPr>
  </w:style>
  <w:style w:type="paragraph" w:customStyle="1" w:styleId="ttedeliste">
    <w:name w:val="tête de liste"/>
    <w:basedOn w:val="Corpsdetexte"/>
    <w:link w:val="ttedelisteCar"/>
    <w:qFormat/>
    <w:rsid w:val="00B73573"/>
    <w:pPr>
      <w:keepNext/>
      <w:spacing w:after="60" w:line="240" w:lineRule="auto"/>
    </w:pPr>
    <w:rPr>
      <w:rFonts w:ascii="Century Gothic" w:hAnsi="Century Gothic" w:cs="Arial"/>
    </w:rPr>
  </w:style>
  <w:style w:type="character" w:customStyle="1" w:styleId="ttedelisteCar">
    <w:name w:val="tête de liste Car"/>
    <w:basedOn w:val="CorpsdetexteCar"/>
    <w:link w:val="ttedeliste"/>
    <w:rsid w:val="00B73573"/>
    <w:rPr>
      <w:rFonts w:ascii="Century Gothic" w:hAnsi="Century Gothic" w:cs="Arial"/>
      <w:color w:val="000000"/>
    </w:rPr>
  </w:style>
  <w:style w:type="paragraph" w:customStyle="1" w:styleId="listesimple">
    <w:name w:val="liste simple"/>
    <w:basedOn w:val="Normal"/>
    <w:link w:val="listesimpleCar"/>
    <w:qFormat/>
    <w:rsid w:val="00B73573"/>
    <w:pPr>
      <w:numPr>
        <w:numId w:val="38"/>
      </w:numPr>
      <w:ind w:left="714" w:hanging="357"/>
    </w:pPr>
    <w:rPr>
      <w:rFonts w:ascii="Century Gothic" w:eastAsiaTheme="minorHAnsi" w:hAnsi="Century Gothic" w:cstheme="minorBidi"/>
      <w:color w:val="auto"/>
      <w:lang w:eastAsia="en-US"/>
    </w:rPr>
  </w:style>
  <w:style w:type="character" w:customStyle="1" w:styleId="listesimpleCar">
    <w:name w:val="liste simple Car"/>
    <w:basedOn w:val="Policepardfaut"/>
    <w:link w:val="listesimple"/>
    <w:rsid w:val="00B73573"/>
    <w:rPr>
      <w:rFonts w:ascii="Century Gothic" w:eastAsiaTheme="minorHAnsi" w:hAnsi="Century Gothic"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8002">
      <w:bodyDiv w:val="1"/>
      <w:marLeft w:val="0"/>
      <w:marRight w:val="0"/>
      <w:marTop w:val="0"/>
      <w:marBottom w:val="0"/>
      <w:divBdr>
        <w:top w:val="none" w:sz="0" w:space="0" w:color="auto"/>
        <w:left w:val="none" w:sz="0" w:space="0" w:color="auto"/>
        <w:bottom w:val="none" w:sz="0" w:space="0" w:color="auto"/>
        <w:right w:val="none" w:sz="0" w:space="0" w:color="auto"/>
      </w:divBdr>
    </w:div>
    <w:div w:id="123550196">
      <w:bodyDiv w:val="1"/>
      <w:marLeft w:val="150"/>
      <w:marRight w:val="0"/>
      <w:marTop w:val="1275"/>
      <w:marBottom w:val="0"/>
      <w:divBdr>
        <w:top w:val="none" w:sz="0" w:space="0" w:color="auto"/>
        <w:left w:val="none" w:sz="0" w:space="0" w:color="auto"/>
        <w:bottom w:val="none" w:sz="0" w:space="0" w:color="auto"/>
        <w:right w:val="none" w:sz="0" w:space="0" w:color="auto"/>
      </w:divBdr>
      <w:divsChild>
        <w:div w:id="1749615560">
          <w:marLeft w:val="0"/>
          <w:marRight w:val="0"/>
          <w:marTop w:val="0"/>
          <w:marBottom w:val="0"/>
          <w:divBdr>
            <w:top w:val="none" w:sz="0" w:space="0" w:color="auto"/>
            <w:left w:val="none" w:sz="0" w:space="0" w:color="auto"/>
            <w:bottom w:val="none" w:sz="0" w:space="0" w:color="auto"/>
            <w:right w:val="none" w:sz="0" w:space="0" w:color="auto"/>
          </w:divBdr>
          <w:divsChild>
            <w:div w:id="11928349">
              <w:marLeft w:val="0"/>
              <w:marRight w:val="0"/>
              <w:marTop w:val="0"/>
              <w:marBottom w:val="0"/>
              <w:divBdr>
                <w:top w:val="none" w:sz="0" w:space="0" w:color="auto"/>
                <w:left w:val="none" w:sz="0" w:space="0" w:color="auto"/>
                <w:bottom w:val="none" w:sz="0" w:space="0" w:color="auto"/>
                <w:right w:val="none" w:sz="0" w:space="0" w:color="auto"/>
              </w:divBdr>
              <w:divsChild>
                <w:div w:id="48832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5530">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395133045">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587693254">
      <w:bodyDiv w:val="1"/>
      <w:marLeft w:val="0"/>
      <w:marRight w:val="0"/>
      <w:marTop w:val="0"/>
      <w:marBottom w:val="0"/>
      <w:divBdr>
        <w:top w:val="none" w:sz="0" w:space="0" w:color="auto"/>
        <w:left w:val="none" w:sz="0" w:space="0" w:color="auto"/>
        <w:bottom w:val="none" w:sz="0" w:space="0" w:color="auto"/>
        <w:right w:val="none" w:sz="0" w:space="0" w:color="auto"/>
      </w:divBdr>
    </w:div>
    <w:div w:id="636301346">
      <w:bodyDiv w:val="1"/>
      <w:marLeft w:val="0"/>
      <w:marRight w:val="0"/>
      <w:marTop w:val="0"/>
      <w:marBottom w:val="0"/>
      <w:divBdr>
        <w:top w:val="none" w:sz="0" w:space="0" w:color="auto"/>
        <w:left w:val="none" w:sz="0" w:space="0" w:color="auto"/>
        <w:bottom w:val="none" w:sz="0" w:space="0" w:color="auto"/>
        <w:right w:val="none" w:sz="0" w:space="0" w:color="auto"/>
      </w:divBdr>
    </w:div>
    <w:div w:id="764494395">
      <w:bodyDiv w:val="1"/>
      <w:marLeft w:val="0"/>
      <w:marRight w:val="0"/>
      <w:marTop w:val="100"/>
      <w:marBottom w:val="100"/>
      <w:divBdr>
        <w:top w:val="none" w:sz="0" w:space="0" w:color="auto"/>
        <w:left w:val="none" w:sz="0" w:space="0" w:color="auto"/>
        <w:bottom w:val="none" w:sz="0" w:space="0" w:color="auto"/>
        <w:right w:val="none" w:sz="0" w:space="0" w:color="auto"/>
      </w:divBdr>
      <w:divsChild>
        <w:div w:id="50083301">
          <w:marLeft w:val="0"/>
          <w:marRight w:val="0"/>
          <w:marTop w:val="0"/>
          <w:marBottom w:val="0"/>
          <w:divBdr>
            <w:top w:val="none" w:sz="0" w:space="0" w:color="auto"/>
            <w:left w:val="none" w:sz="0" w:space="0" w:color="auto"/>
            <w:bottom w:val="none" w:sz="0" w:space="0" w:color="auto"/>
            <w:right w:val="none" w:sz="0" w:space="0" w:color="auto"/>
          </w:divBdr>
          <w:divsChild>
            <w:div w:id="1740051941">
              <w:marLeft w:val="0"/>
              <w:marRight w:val="0"/>
              <w:marTop w:val="0"/>
              <w:marBottom w:val="0"/>
              <w:divBdr>
                <w:top w:val="none" w:sz="0" w:space="0" w:color="auto"/>
                <w:left w:val="none" w:sz="0" w:space="0" w:color="auto"/>
                <w:bottom w:val="none" w:sz="0" w:space="0" w:color="auto"/>
                <w:right w:val="none" w:sz="0" w:space="0" w:color="auto"/>
              </w:divBdr>
              <w:divsChild>
                <w:div w:id="1491216396">
                  <w:marLeft w:val="0"/>
                  <w:marRight w:val="0"/>
                  <w:marTop w:val="0"/>
                  <w:marBottom w:val="0"/>
                  <w:divBdr>
                    <w:top w:val="none" w:sz="0" w:space="0" w:color="auto"/>
                    <w:left w:val="none" w:sz="0" w:space="0" w:color="auto"/>
                    <w:bottom w:val="none" w:sz="0" w:space="0" w:color="auto"/>
                    <w:right w:val="none" w:sz="0" w:space="0" w:color="auto"/>
                  </w:divBdr>
                  <w:divsChild>
                    <w:div w:id="1999385919">
                      <w:marLeft w:val="0"/>
                      <w:marRight w:val="0"/>
                      <w:marTop w:val="0"/>
                      <w:marBottom w:val="0"/>
                      <w:divBdr>
                        <w:top w:val="none" w:sz="0" w:space="0" w:color="auto"/>
                        <w:left w:val="none" w:sz="0" w:space="0" w:color="auto"/>
                        <w:bottom w:val="none" w:sz="0" w:space="0" w:color="auto"/>
                        <w:right w:val="none" w:sz="0" w:space="0" w:color="auto"/>
                      </w:divBdr>
                      <w:divsChild>
                        <w:div w:id="1034574754">
                          <w:marLeft w:val="0"/>
                          <w:marRight w:val="0"/>
                          <w:marTop w:val="0"/>
                          <w:marBottom w:val="0"/>
                          <w:divBdr>
                            <w:top w:val="none" w:sz="0" w:space="0" w:color="auto"/>
                            <w:left w:val="none" w:sz="0" w:space="0" w:color="auto"/>
                            <w:bottom w:val="none" w:sz="0" w:space="0" w:color="auto"/>
                            <w:right w:val="none" w:sz="0" w:space="0" w:color="auto"/>
                          </w:divBdr>
                          <w:divsChild>
                            <w:div w:id="137771664">
                              <w:marLeft w:val="0"/>
                              <w:marRight w:val="0"/>
                              <w:marTop w:val="0"/>
                              <w:marBottom w:val="0"/>
                              <w:divBdr>
                                <w:top w:val="none" w:sz="0" w:space="0" w:color="auto"/>
                                <w:left w:val="none" w:sz="0" w:space="0" w:color="auto"/>
                                <w:bottom w:val="none" w:sz="0" w:space="0" w:color="auto"/>
                                <w:right w:val="none" w:sz="0" w:space="0" w:color="auto"/>
                              </w:divBdr>
                              <w:divsChild>
                                <w:div w:id="1028020944">
                                  <w:marLeft w:val="0"/>
                                  <w:marRight w:val="0"/>
                                  <w:marTop w:val="0"/>
                                  <w:marBottom w:val="0"/>
                                  <w:divBdr>
                                    <w:top w:val="none" w:sz="0" w:space="0" w:color="auto"/>
                                    <w:left w:val="none" w:sz="0" w:space="0" w:color="auto"/>
                                    <w:bottom w:val="none" w:sz="0" w:space="0" w:color="auto"/>
                                    <w:right w:val="none" w:sz="0" w:space="0" w:color="auto"/>
                                  </w:divBdr>
                                  <w:divsChild>
                                    <w:div w:id="1561557879">
                                      <w:marLeft w:val="0"/>
                                      <w:marRight w:val="0"/>
                                      <w:marTop w:val="0"/>
                                      <w:marBottom w:val="0"/>
                                      <w:divBdr>
                                        <w:top w:val="none" w:sz="0" w:space="0" w:color="auto"/>
                                        <w:left w:val="none" w:sz="0" w:space="0" w:color="auto"/>
                                        <w:bottom w:val="none" w:sz="0" w:space="0" w:color="auto"/>
                                        <w:right w:val="none" w:sz="0" w:space="0" w:color="auto"/>
                                      </w:divBdr>
                                      <w:divsChild>
                                        <w:div w:id="1062486413">
                                          <w:marLeft w:val="0"/>
                                          <w:marRight w:val="0"/>
                                          <w:marTop w:val="0"/>
                                          <w:marBottom w:val="0"/>
                                          <w:divBdr>
                                            <w:top w:val="none" w:sz="0" w:space="0" w:color="auto"/>
                                            <w:left w:val="none" w:sz="0" w:space="0" w:color="auto"/>
                                            <w:bottom w:val="none" w:sz="0" w:space="0" w:color="auto"/>
                                            <w:right w:val="none" w:sz="0" w:space="0" w:color="auto"/>
                                          </w:divBdr>
                                          <w:divsChild>
                                            <w:div w:id="556472840">
                                              <w:marLeft w:val="0"/>
                                              <w:marRight w:val="0"/>
                                              <w:marTop w:val="0"/>
                                              <w:marBottom w:val="0"/>
                                              <w:divBdr>
                                                <w:top w:val="none" w:sz="0" w:space="0" w:color="auto"/>
                                                <w:left w:val="none" w:sz="0" w:space="0" w:color="auto"/>
                                                <w:bottom w:val="none" w:sz="0" w:space="0" w:color="auto"/>
                                                <w:right w:val="none" w:sz="0" w:space="0" w:color="auto"/>
                                              </w:divBdr>
                                              <w:divsChild>
                                                <w:div w:id="1158499648">
                                                  <w:marLeft w:val="0"/>
                                                  <w:marRight w:val="0"/>
                                                  <w:marTop w:val="0"/>
                                                  <w:marBottom w:val="0"/>
                                                  <w:divBdr>
                                                    <w:top w:val="none" w:sz="0" w:space="0" w:color="auto"/>
                                                    <w:left w:val="none" w:sz="0" w:space="0" w:color="auto"/>
                                                    <w:bottom w:val="none" w:sz="0" w:space="0" w:color="auto"/>
                                                    <w:right w:val="none" w:sz="0" w:space="0" w:color="auto"/>
                                                  </w:divBdr>
                                                  <w:divsChild>
                                                    <w:div w:id="850678378">
                                                      <w:marLeft w:val="0"/>
                                                      <w:marRight w:val="0"/>
                                                      <w:marTop w:val="0"/>
                                                      <w:marBottom w:val="0"/>
                                                      <w:divBdr>
                                                        <w:top w:val="none" w:sz="0" w:space="0" w:color="auto"/>
                                                        <w:left w:val="none" w:sz="0" w:space="0" w:color="auto"/>
                                                        <w:bottom w:val="none" w:sz="0" w:space="0" w:color="auto"/>
                                                        <w:right w:val="none" w:sz="0" w:space="0" w:color="auto"/>
                                                      </w:divBdr>
                                                      <w:divsChild>
                                                        <w:div w:id="11973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812213251">
      <w:bodyDiv w:val="1"/>
      <w:marLeft w:val="0"/>
      <w:marRight w:val="0"/>
      <w:marTop w:val="0"/>
      <w:marBottom w:val="0"/>
      <w:divBdr>
        <w:top w:val="none" w:sz="0" w:space="0" w:color="auto"/>
        <w:left w:val="none" w:sz="0" w:space="0" w:color="auto"/>
        <w:bottom w:val="none" w:sz="0" w:space="0" w:color="auto"/>
        <w:right w:val="none" w:sz="0" w:space="0" w:color="auto"/>
      </w:divBdr>
    </w:div>
    <w:div w:id="927007017">
      <w:bodyDiv w:val="1"/>
      <w:marLeft w:val="0"/>
      <w:marRight w:val="0"/>
      <w:marTop w:val="0"/>
      <w:marBottom w:val="0"/>
      <w:divBdr>
        <w:top w:val="none" w:sz="0" w:space="0" w:color="auto"/>
        <w:left w:val="none" w:sz="0" w:space="0" w:color="auto"/>
        <w:bottom w:val="none" w:sz="0" w:space="0" w:color="auto"/>
        <w:right w:val="none" w:sz="0" w:space="0" w:color="auto"/>
      </w:divBdr>
      <w:divsChild>
        <w:div w:id="1609190417">
          <w:marLeft w:val="446"/>
          <w:marRight w:val="0"/>
          <w:marTop w:val="300"/>
          <w:marBottom w:val="200"/>
          <w:divBdr>
            <w:top w:val="none" w:sz="0" w:space="0" w:color="auto"/>
            <w:left w:val="none" w:sz="0" w:space="0" w:color="auto"/>
            <w:bottom w:val="none" w:sz="0" w:space="0" w:color="auto"/>
            <w:right w:val="none" w:sz="0" w:space="0" w:color="auto"/>
          </w:divBdr>
        </w:div>
        <w:div w:id="939643">
          <w:marLeft w:val="677"/>
          <w:marRight w:val="0"/>
          <w:marTop w:val="0"/>
          <w:marBottom w:val="240"/>
          <w:divBdr>
            <w:top w:val="none" w:sz="0" w:space="0" w:color="auto"/>
            <w:left w:val="none" w:sz="0" w:space="0" w:color="auto"/>
            <w:bottom w:val="none" w:sz="0" w:space="0" w:color="auto"/>
            <w:right w:val="none" w:sz="0" w:space="0" w:color="auto"/>
          </w:divBdr>
        </w:div>
        <w:div w:id="529680879">
          <w:marLeft w:val="677"/>
          <w:marRight w:val="0"/>
          <w:marTop w:val="0"/>
          <w:marBottom w:val="240"/>
          <w:divBdr>
            <w:top w:val="none" w:sz="0" w:space="0" w:color="auto"/>
            <w:left w:val="none" w:sz="0" w:space="0" w:color="auto"/>
            <w:bottom w:val="none" w:sz="0" w:space="0" w:color="auto"/>
            <w:right w:val="none" w:sz="0" w:space="0" w:color="auto"/>
          </w:divBdr>
        </w:div>
        <w:div w:id="342318142">
          <w:marLeft w:val="446"/>
          <w:marRight w:val="0"/>
          <w:marTop w:val="300"/>
          <w:marBottom w:val="200"/>
          <w:divBdr>
            <w:top w:val="none" w:sz="0" w:space="0" w:color="auto"/>
            <w:left w:val="none" w:sz="0" w:space="0" w:color="auto"/>
            <w:bottom w:val="none" w:sz="0" w:space="0" w:color="auto"/>
            <w:right w:val="none" w:sz="0" w:space="0" w:color="auto"/>
          </w:divBdr>
        </w:div>
        <w:div w:id="2101371901">
          <w:marLeft w:val="677"/>
          <w:marRight w:val="0"/>
          <w:marTop w:val="0"/>
          <w:marBottom w:val="240"/>
          <w:divBdr>
            <w:top w:val="none" w:sz="0" w:space="0" w:color="auto"/>
            <w:left w:val="none" w:sz="0" w:space="0" w:color="auto"/>
            <w:bottom w:val="none" w:sz="0" w:space="0" w:color="auto"/>
            <w:right w:val="none" w:sz="0" w:space="0" w:color="auto"/>
          </w:divBdr>
        </w:div>
        <w:div w:id="255599897">
          <w:marLeft w:val="677"/>
          <w:marRight w:val="0"/>
          <w:marTop w:val="0"/>
          <w:marBottom w:val="240"/>
          <w:divBdr>
            <w:top w:val="none" w:sz="0" w:space="0" w:color="auto"/>
            <w:left w:val="none" w:sz="0" w:space="0" w:color="auto"/>
            <w:bottom w:val="none" w:sz="0" w:space="0" w:color="auto"/>
            <w:right w:val="none" w:sz="0" w:space="0" w:color="auto"/>
          </w:divBdr>
        </w:div>
        <w:div w:id="1961301279">
          <w:marLeft w:val="677"/>
          <w:marRight w:val="0"/>
          <w:marTop w:val="0"/>
          <w:marBottom w:val="240"/>
          <w:divBdr>
            <w:top w:val="none" w:sz="0" w:space="0" w:color="auto"/>
            <w:left w:val="none" w:sz="0" w:space="0" w:color="auto"/>
            <w:bottom w:val="none" w:sz="0" w:space="0" w:color="auto"/>
            <w:right w:val="none" w:sz="0" w:space="0" w:color="auto"/>
          </w:divBdr>
        </w:div>
        <w:div w:id="1802962899">
          <w:marLeft w:val="677"/>
          <w:marRight w:val="0"/>
          <w:marTop w:val="0"/>
          <w:marBottom w:val="240"/>
          <w:divBdr>
            <w:top w:val="none" w:sz="0" w:space="0" w:color="auto"/>
            <w:left w:val="none" w:sz="0" w:space="0" w:color="auto"/>
            <w:bottom w:val="none" w:sz="0" w:space="0" w:color="auto"/>
            <w:right w:val="none" w:sz="0" w:space="0" w:color="auto"/>
          </w:divBdr>
        </w:div>
      </w:divsChild>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414264">
      <w:bodyDiv w:val="1"/>
      <w:marLeft w:val="0"/>
      <w:marRight w:val="0"/>
      <w:marTop w:val="0"/>
      <w:marBottom w:val="0"/>
      <w:divBdr>
        <w:top w:val="none" w:sz="0" w:space="0" w:color="auto"/>
        <w:left w:val="none" w:sz="0" w:space="0" w:color="auto"/>
        <w:bottom w:val="none" w:sz="0" w:space="0" w:color="auto"/>
        <w:right w:val="none" w:sz="0" w:space="0" w:color="auto"/>
      </w:divBdr>
      <w:divsChild>
        <w:div w:id="135027835">
          <w:marLeft w:val="0"/>
          <w:marRight w:val="0"/>
          <w:marTop w:val="0"/>
          <w:marBottom w:val="0"/>
          <w:divBdr>
            <w:top w:val="none" w:sz="0" w:space="0" w:color="auto"/>
            <w:left w:val="none" w:sz="0" w:space="0" w:color="auto"/>
            <w:bottom w:val="none" w:sz="0" w:space="0" w:color="auto"/>
            <w:right w:val="none" w:sz="0" w:space="0" w:color="auto"/>
          </w:divBdr>
          <w:divsChild>
            <w:div w:id="1713769713">
              <w:marLeft w:val="0"/>
              <w:marRight w:val="0"/>
              <w:marTop w:val="0"/>
              <w:marBottom w:val="600"/>
              <w:divBdr>
                <w:top w:val="none" w:sz="0" w:space="0" w:color="auto"/>
                <w:left w:val="none" w:sz="0" w:space="0" w:color="auto"/>
                <w:bottom w:val="none" w:sz="0" w:space="0" w:color="auto"/>
                <w:right w:val="none" w:sz="0" w:space="0" w:color="auto"/>
              </w:divBdr>
              <w:divsChild>
                <w:div w:id="1701053309">
                  <w:marLeft w:val="0"/>
                  <w:marRight w:val="0"/>
                  <w:marTop w:val="0"/>
                  <w:marBottom w:val="0"/>
                  <w:divBdr>
                    <w:top w:val="none" w:sz="0" w:space="0" w:color="auto"/>
                    <w:left w:val="none" w:sz="0" w:space="0" w:color="auto"/>
                    <w:bottom w:val="none" w:sz="0" w:space="0" w:color="auto"/>
                    <w:right w:val="none" w:sz="0" w:space="0" w:color="auto"/>
                  </w:divBdr>
                  <w:divsChild>
                    <w:div w:id="432743959">
                      <w:marLeft w:val="-225"/>
                      <w:marRight w:val="-225"/>
                      <w:marTop w:val="0"/>
                      <w:marBottom w:val="0"/>
                      <w:divBdr>
                        <w:top w:val="none" w:sz="0" w:space="0" w:color="auto"/>
                        <w:left w:val="none" w:sz="0" w:space="0" w:color="auto"/>
                        <w:bottom w:val="none" w:sz="0" w:space="0" w:color="auto"/>
                        <w:right w:val="none" w:sz="0" w:space="0" w:color="auto"/>
                      </w:divBdr>
                      <w:divsChild>
                        <w:div w:id="554699694">
                          <w:marLeft w:val="1463"/>
                          <w:marRight w:val="0"/>
                          <w:marTop w:val="0"/>
                          <w:marBottom w:val="0"/>
                          <w:divBdr>
                            <w:top w:val="none" w:sz="0" w:space="0" w:color="auto"/>
                            <w:left w:val="none" w:sz="0" w:space="0" w:color="auto"/>
                            <w:bottom w:val="none" w:sz="0" w:space="0" w:color="auto"/>
                            <w:right w:val="none" w:sz="0" w:space="0" w:color="auto"/>
                          </w:divBdr>
                          <w:divsChild>
                            <w:div w:id="1613442272">
                              <w:marLeft w:val="-225"/>
                              <w:marRight w:val="-225"/>
                              <w:marTop w:val="0"/>
                              <w:marBottom w:val="0"/>
                              <w:divBdr>
                                <w:top w:val="none" w:sz="0" w:space="0" w:color="auto"/>
                                <w:left w:val="none" w:sz="0" w:space="0" w:color="auto"/>
                                <w:bottom w:val="none" w:sz="0" w:space="0" w:color="auto"/>
                                <w:right w:val="none" w:sz="0" w:space="0" w:color="auto"/>
                              </w:divBdr>
                              <w:divsChild>
                                <w:div w:id="1145391472">
                                  <w:marLeft w:val="0"/>
                                  <w:marRight w:val="0"/>
                                  <w:marTop w:val="0"/>
                                  <w:marBottom w:val="0"/>
                                  <w:divBdr>
                                    <w:top w:val="none" w:sz="0" w:space="0" w:color="auto"/>
                                    <w:left w:val="none" w:sz="0" w:space="0" w:color="auto"/>
                                    <w:bottom w:val="none" w:sz="0" w:space="0" w:color="auto"/>
                                    <w:right w:val="none" w:sz="0" w:space="0" w:color="auto"/>
                                  </w:divBdr>
                                  <w:divsChild>
                                    <w:div w:id="16701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63418">
      <w:bodyDiv w:val="1"/>
      <w:marLeft w:val="0"/>
      <w:marRight w:val="0"/>
      <w:marTop w:val="0"/>
      <w:marBottom w:val="0"/>
      <w:divBdr>
        <w:top w:val="none" w:sz="0" w:space="0" w:color="auto"/>
        <w:left w:val="none" w:sz="0" w:space="0" w:color="auto"/>
        <w:bottom w:val="none" w:sz="0" w:space="0" w:color="auto"/>
        <w:right w:val="none" w:sz="0" w:space="0" w:color="auto"/>
      </w:divBdr>
    </w:div>
    <w:div w:id="1436048666">
      <w:bodyDiv w:val="1"/>
      <w:marLeft w:val="0"/>
      <w:marRight w:val="0"/>
      <w:marTop w:val="0"/>
      <w:marBottom w:val="0"/>
      <w:divBdr>
        <w:top w:val="none" w:sz="0" w:space="0" w:color="auto"/>
        <w:left w:val="none" w:sz="0" w:space="0" w:color="auto"/>
        <w:bottom w:val="none" w:sz="0" w:space="0" w:color="auto"/>
        <w:right w:val="none" w:sz="0" w:space="0" w:color="auto"/>
      </w:divBdr>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10369946">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63397494">
      <w:bodyDiv w:val="1"/>
      <w:marLeft w:val="0"/>
      <w:marRight w:val="0"/>
      <w:marTop w:val="100"/>
      <w:marBottom w:val="100"/>
      <w:divBdr>
        <w:top w:val="none" w:sz="0" w:space="0" w:color="auto"/>
        <w:left w:val="none" w:sz="0" w:space="0" w:color="auto"/>
        <w:bottom w:val="none" w:sz="0" w:space="0" w:color="auto"/>
        <w:right w:val="none" w:sz="0" w:space="0" w:color="auto"/>
      </w:divBdr>
      <w:divsChild>
        <w:div w:id="1445809237">
          <w:marLeft w:val="0"/>
          <w:marRight w:val="0"/>
          <w:marTop w:val="0"/>
          <w:marBottom w:val="0"/>
          <w:divBdr>
            <w:top w:val="none" w:sz="0" w:space="0" w:color="auto"/>
            <w:left w:val="none" w:sz="0" w:space="0" w:color="auto"/>
            <w:bottom w:val="none" w:sz="0" w:space="0" w:color="auto"/>
            <w:right w:val="none" w:sz="0" w:space="0" w:color="auto"/>
          </w:divBdr>
          <w:divsChild>
            <w:div w:id="1619263644">
              <w:marLeft w:val="0"/>
              <w:marRight w:val="0"/>
              <w:marTop w:val="0"/>
              <w:marBottom w:val="0"/>
              <w:divBdr>
                <w:top w:val="none" w:sz="0" w:space="0" w:color="auto"/>
                <w:left w:val="none" w:sz="0" w:space="0" w:color="auto"/>
                <w:bottom w:val="none" w:sz="0" w:space="0" w:color="auto"/>
                <w:right w:val="none" w:sz="0" w:space="0" w:color="auto"/>
              </w:divBdr>
              <w:divsChild>
                <w:div w:id="1689017386">
                  <w:marLeft w:val="0"/>
                  <w:marRight w:val="0"/>
                  <w:marTop w:val="0"/>
                  <w:marBottom w:val="0"/>
                  <w:divBdr>
                    <w:top w:val="none" w:sz="0" w:space="0" w:color="auto"/>
                    <w:left w:val="none" w:sz="0" w:space="0" w:color="auto"/>
                    <w:bottom w:val="none" w:sz="0" w:space="0" w:color="auto"/>
                    <w:right w:val="none" w:sz="0" w:space="0" w:color="auto"/>
                  </w:divBdr>
                  <w:divsChild>
                    <w:div w:id="1102069497">
                      <w:marLeft w:val="0"/>
                      <w:marRight w:val="0"/>
                      <w:marTop w:val="0"/>
                      <w:marBottom w:val="0"/>
                      <w:divBdr>
                        <w:top w:val="none" w:sz="0" w:space="0" w:color="auto"/>
                        <w:left w:val="none" w:sz="0" w:space="0" w:color="auto"/>
                        <w:bottom w:val="none" w:sz="0" w:space="0" w:color="auto"/>
                        <w:right w:val="none" w:sz="0" w:space="0" w:color="auto"/>
                      </w:divBdr>
                      <w:divsChild>
                        <w:div w:id="436217980">
                          <w:marLeft w:val="0"/>
                          <w:marRight w:val="0"/>
                          <w:marTop w:val="0"/>
                          <w:marBottom w:val="0"/>
                          <w:divBdr>
                            <w:top w:val="none" w:sz="0" w:space="0" w:color="auto"/>
                            <w:left w:val="none" w:sz="0" w:space="0" w:color="auto"/>
                            <w:bottom w:val="none" w:sz="0" w:space="0" w:color="auto"/>
                            <w:right w:val="none" w:sz="0" w:space="0" w:color="auto"/>
                          </w:divBdr>
                          <w:divsChild>
                            <w:div w:id="1629317104">
                              <w:marLeft w:val="0"/>
                              <w:marRight w:val="0"/>
                              <w:marTop w:val="0"/>
                              <w:marBottom w:val="0"/>
                              <w:divBdr>
                                <w:top w:val="none" w:sz="0" w:space="0" w:color="auto"/>
                                <w:left w:val="none" w:sz="0" w:space="0" w:color="auto"/>
                                <w:bottom w:val="none" w:sz="0" w:space="0" w:color="auto"/>
                                <w:right w:val="none" w:sz="0" w:space="0" w:color="auto"/>
                              </w:divBdr>
                              <w:divsChild>
                                <w:div w:id="1132401267">
                                  <w:marLeft w:val="0"/>
                                  <w:marRight w:val="0"/>
                                  <w:marTop w:val="0"/>
                                  <w:marBottom w:val="0"/>
                                  <w:divBdr>
                                    <w:top w:val="none" w:sz="0" w:space="0" w:color="auto"/>
                                    <w:left w:val="none" w:sz="0" w:space="0" w:color="auto"/>
                                    <w:bottom w:val="none" w:sz="0" w:space="0" w:color="auto"/>
                                    <w:right w:val="none" w:sz="0" w:space="0" w:color="auto"/>
                                  </w:divBdr>
                                  <w:divsChild>
                                    <w:div w:id="699168848">
                                      <w:marLeft w:val="0"/>
                                      <w:marRight w:val="0"/>
                                      <w:marTop w:val="0"/>
                                      <w:marBottom w:val="0"/>
                                      <w:divBdr>
                                        <w:top w:val="none" w:sz="0" w:space="0" w:color="auto"/>
                                        <w:left w:val="none" w:sz="0" w:space="0" w:color="auto"/>
                                        <w:bottom w:val="none" w:sz="0" w:space="0" w:color="auto"/>
                                        <w:right w:val="none" w:sz="0" w:space="0" w:color="auto"/>
                                      </w:divBdr>
                                      <w:divsChild>
                                        <w:div w:id="527455602">
                                          <w:marLeft w:val="0"/>
                                          <w:marRight w:val="0"/>
                                          <w:marTop w:val="0"/>
                                          <w:marBottom w:val="0"/>
                                          <w:divBdr>
                                            <w:top w:val="none" w:sz="0" w:space="0" w:color="auto"/>
                                            <w:left w:val="none" w:sz="0" w:space="0" w:color="auto"/>
                                            <w:bottom w:val="none" w:sz="0" w:space="0" w:color="auto"/>
                                            <w:right w:val="none" w:sz="0" w:space="0" w:color="auto"/>
                                          </w:divBdr>
                                          <w:divsChild>
                                            <w:div w:id="2077849439">
                                              <w:marLeft w:val="0"/>
                                              <w:marRight w:val="0"/>
                                              <w:marTop w:val="0"/>
                                              <w:marBottom w:val="0"/>
                                              <w:divBdr>
                                                <w:top w:val="none" w:sz="0" w:space="0" w:color="auto"/>
                                                <w:left w:val="none" w:sz="0" w:space="0" w:color="auto"/>
                                                <w:bottom w:val="none" w:sz="0" w:space="0" w:color="auto"/>
                                                <w:right w:val="none" w:sz="0" w:space="0" w:color="auto"/>
                                              </w:divBdr>
                                              <w:divsChild>
                                                <w:div w:id="2020421845">
                                                  <w:marLeft w:val="0"/>
                                                  <w:marRight w:val="0"/>
                                                  <w:marTop w:val="0"/>
                                                  <w:marBottom w:val="0"/>
                                                  <w:divBdr>
                                                    <w:top w:val="none" w:sz="0" w:space="0" w:color="auto"/>
                                                    <w:left w:val="none" w:sz="0" w:space="0" w:color="auto"/>
                                                    <w:bottom w:val="none" w:sz="0" w:space="0" w:color="auto"/>
                                                    <w:right w:val="none" w:sz="0" w:space="0" w:color="auto"/>
                                                  </w:divBdr>
                                                  <w:divsChild>
                                                    <w:div w:id="1494641908">
                                                      <w:marLeft w:val="0"/>
                                                      <w:marRight w:val="0"/>
                                                      <w:marTop w:val="0"/>
                                                      <w:marBottom w:val="0"/>
                                                      <w:divBdr>
                                                        <w:top w:val="none" w:sz="0" w:space="0" w:color="auto"/>
                                                        <w:left w:val="none" w:sz="0" w:space="0" w:color="auto"/>
                                                        <w:bottom w:val="none" w:sz="0" w:space="0" w:color="auto"/>
                                                        <w:right w:val="none" w:sz="0" w:space="0" w:color="auto"/>
                                                      </w:divBdr>
                                                      <w:divsChild>
                                                        <w:div w:id="2080589224">
                                                          <w:marLeft w:val="0"/>
                                                          <w:marRight w:val="0"/>
                                                          <w:marTop w:val="0"/>
                                                          <w:marBottom w:val="0"/>
                                                          <w:divBdr>
                                                            <w:top w:val="none" w:sz="0" w:space="0" w:color="auto"/>
                                                            <w:left w:val="none" w:sz="0" w:space="0" w:color="auto"/>
                                                            <w:bottom w:val="none" w:sz="0" w:space="0" w:color="auto"/>
                                                            <w:right w:val="none" w:sz="0" w:space="0" w:color="auto"/>
                                                          </w:divBdr>
                                                          <w:divsChild>
                                                            <w:div w:id="493302734">
                                                              <w:marLeft w:val="0"/>
                                                              <w:marRight w:val="0"/>
                                                              <w:marTop w:val="0"/>
                                                              <w:marBottom w:val="0"/>
                                                              <w:divBdr>
                                                                <w:top w:val="none" w:sz="0" w:space="0" w:color="auto"/>
                                                                <w:left w:val="none" w:sz="0" w:space="0" w:color="auto"/>
                                                                <w:bottom w:val="none" w:sz="0" w:space="0" w:color="auto"/>
                                                                <w:right w:val="none" w:sz="0" w:space="0" w:color="auto"/>
                                                              </w:divBdr>
                                                              <w:divsChild>
                                                                <w:div w:id="381288735">
                                                                  <w:marLeft w:val="0"/>
                                                                  <w:marRight w:val="0"/>
                                                                  <w:marTop w:val="0"/>
                                                                  <w:marBottom w:val="0"/>
                                                                  <w:divBdr>
                                                                    <w:top w:val="none" w:sz="0" w:space="0" w:color="auto"/>
                                                                    <w:left w:val="none" w:sz="0" w:space="0" w:color="auto"/>
                                                                    <w:bottom w:val="none" w:sz="0" w:space="0" w:color="auto"/>
                                                                    <w:right w:val="none" w:sz="0" w:space="0" w:color="auto"/>
                                                                  </w:divBdr>
                                                                  <w:divsChild>
                                                                    <w:div w:id="2266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95823">
                                                              <w:marLeft w:val="0"/>
                                                              <w:marRight w:val="4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hp.fr"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3F5C0-BC8F-4394-85CE-A70387F34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8429</Words>
  <Characters>45574</Characters>
  <Application>Microsoft Office Word</Application>
  <DocSecurity>0</DocSecurity>
  <Lines>379</Lines>
  <Paragraphs>107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53896</CharactersWithSpaces>
  <SharedDoc>false</SharedDoc>
  <HLinks>
    <vt:vector size="30" baseType="variant">
      <vt:variant>
        <vt:i4>3342352</vt:i4>
      </vt:variant>
      <vt:variant>
        <vt:i4>156</vt:i4>
      </vt:variant>
      <vt:variant>
        <vt:i4>0</vt:i4>
      </vt:variant>
      <vt:variant>
        <vt:i4>5</vt:i4>
      </vt:variant>
      <vt:variant>
        <vt:lpwstr>mailto:secr.smmit@aca.aphp.fr</vt:lpwstr>
      </vt:variant>
      <vt:variant>
        <vt:lpwstr/>
      </vt:variant>
      <vt:variant>
        <vt:i4>5374053</vt:i4>
      </vt:variant>
      <vt:variant>
        <vt:i4>153</vt:i4>
      </vt:variant>
      <vt:variant>
        <vt:i4>0</vt:i4>
      </vt:variant>
      <vt:variant>
        <vt:i4>5</vt:i4>
      </vt:variant>
      <vt:variant>
        <vt:lpwstr>mailto:secr.cellule@aca.aphp.fr</vt:lpwstr>
      </vt:variant>
      <vt:variant>
        <vt:lpwstr/>
      </vt:variant>
      <vt:variant>
        <vt:i4>3080256</vt:i4>
      </vt:variant>
      <vt:variant>
        <vt:i4>150</vt:i4>
      </vt:variant>
      <vt:variant>
        <vt:i4>0</vt:i4>
      </vt:variant>
      <vt:variant>
        <vt:i4>5</vt:i4>
      </vt:variant>
      <vt:variant>
        <vt:lpwstr>mailto:secr.hotelier-restauration@aca.aphp.fr</vt:lpwstr>
      </vt:variant>
      <vt:variant>
        <vt:lpwstr/>
      </vt:variant>
      <vt:variant>
        <vt:i4>5374053</vt:i4>
      </vt:variant>
      <vt:variant>
        <vt:i4>147</vt:i4>
      </vt:variant>
      <vt:variant>
        <vt:i4>0</vt:i4>
      </vt:variant>
      <vt:variant>
        <vt:i4>5</vt:i4>
      </vt:variant>
      <vt:variant>
        <vt:lpwstr>mailto:secr.cellule@aca.aphp.fr</vt:lpwstr>
      </vt:variant>
      <vt:variant>
        <vt:lpwstr/>
      </vt:variant>
      <vt:variant>
        <vt:i4>3604504</vt:i4>
      </vt:variant>
      <vt:variant>
        <vt:i4>144</vt:i4>
      </vt:variant>
      <vt:variant>
        <vt:i4>0</vt:i4>
      </vt:variant>
      <vt:variant>
        <vt:i4>5</vt:i4>
      </vt:variant>
      <vt:variant>
        <vt:lpwstr>mailto:secretariat.prestations@aca.aphp.fr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2025-06-18T13:06:00Z</dcterms:created>
  <dcterms:modified xsi:type="dcterms:W3CDTF">2025-06-18T13:34:00Z</dcterms:modified>
</cp:coreProperties>
</file>